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line="548" w:lineRule="exact"/>
        <w:rPr>
          <w:rFonts w:hint="eastAsia" w:ascii="黑体" w:hAnsi="黑体" w:eastAsia="黑体" w:cs="方正小标宋简体"/>
          <w:sz w:val="28"/>
          <w:szCs w:val="40"/>
          <w:lang w:val="en-US" w:eastAsia="zh-CN"/>
        </w:rPr>
      </w:pPr>
      <w:r>
        <w:rPr>
          <w:rFonts w:hint="eastAsia" w:ascii="黑体" w:hAnsi="黑体" w:eastAsia="黑体" w:cs="方正小标宋简体"/>
          <w:sz w:val="28"/>
          <w:szCs w:val="40"/>
        </w:rPr>
        <w:t>附件</w:t>
      </w:r>
      <w:r>
        <w:rPr>
          <w:rFonts w:hint="eastAsia" w:ascii="黑体" w:hAnsi="黑体" w:eastAsia="黑体" w:cs="方正小标宋简体"/>
          <w:sz w:val="28"/>
          <w:szCs w:val="40"/>
          <w:lang w:val="en-US" w:eastAsia="zh-CN"/>
        </w:rPr>
        <w:t>1</w:t>
      </w:r>
    </w:p>
    <w:p>
      <w:pPr>
        <w:pStyle w:val="7"/>
        <w:adjustRightInd w:val="0"/>
        <w:snapToGrid w:val="0"/>
        <w:spacing w:line="548" w:lineRule="exact"/>
        <w:jc w:val="left"/>
        <w:rPr>
          <w:rFonts w:hint="eastAsia" w:ascii="黑体" w:hAnsi="黑体" w:eastAsia="黑体" w:cs="方正小标宋简体"/>
          <w:sz w:val="28"/>
          <w:szCs w:val="40"/>
        </w:rPr>
      </w:pPr>
    </w:p>
    <w:p>
      <w:pPr>
        <w:pStyle w:val="7"/>
        <w:adjustRightInd w:val="0"/>
        <w:snapToGrid w:val="0"/>
        <w:spacing w:line="54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首都医科大学国家医疗保障研究院</w:t>
      </w:r>
    </w:p>
    <w:p>
      <w:pPr>
        <w:pStyle w:val="7"/>
        <w:adjustRightInd w:val="0"/>
        <w:snapToGrid w:val="0"/>
        <w:spacing w:line="54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2022年度</w:t>
      </w:r>
      <w:r>
        <w:rPr>
          <w:rFonts w:hint="eastAsia" w:ascii="方正小标宋简体" w:hAnsi="方正小标宋简体" w:eastAsia="方正小标宋简体" w:cs="方正小标宋简体"/>
          <w:sz w:val="44"/>
          <w:szCs w:val="44"/>
        </w:rPr>
        <w:t>开放性课题申报指南</w:t>
      </w:r>
    </w:p>
    <w:p>
      <w:pPr>
        <w:adjustRightInd w:val="0"/>
        <w:snapToGrid w:val="0"/>
        <w:spacing w:line="548" w:lineRule="exact"/>
        <w:ind w:firstLine="622" w:firstLineChars="200"/>
        <w:rPr>
          <w:rFonts w:ascii="仿宋_GB2312" w:hAnsi="黑体" w:eastAsia="仿宋_GB2312" w:cs="黑体"/>
          <w:sz w:val="32"/>
          <w:szCs w:val="32"/>
        </w:rPr>
      </w:pPr>
    </w:p>
    <w:p>
      <w:pPr>
        <w:adjustRightInd w:val="0"/>
        <w:snapToGrid w:val="0"/>
        <w:spacing w:line="588" w:lineRule="exact"/>
        <w:ind w:firstLine="622" w:firstLineChars="200"/>
        <w:rPr>
          <w:rFonts w:ascii="黑体" w:hAnsi="黑体" w:eastAsia="黑体" w:cs="黑体"/>
          <w:sz w:val="32"/>
          <w:szCs w:val="32"/>
        </w:rPr>
      </w:pPr>
      <w:r>
        <w:rPr>
          <w:rFonts w:hint="eastAsia" w:ascii="黑体" w:hAnsi="黑体" w:eastAsia="黑体" w:cs="黑体"/>
          <w:sz w:val="32"/>
          <w:szCs w:val="32"/>
        </w:rPr>
        <w:t>一、总体目标</w:t>
      </w:r>
    </w:p>
    <w:p>
      <w:pPr>
        <w:spacing w:line="588" w:lineRule="exact"/>
        <w:rPr>
          <w:rFonts w:ascii="仿宋_GB2312" w:hAnsi="仿宋" w:eastAsia="仿宋_GB2312" w:cs="仿宋"/>
          <w:sz w:val="32"/>
          <w:szCs w:val="32"/>
        </w:rPr>
      </w:pPr>
      <w:r>
        <w:rPr>
          <w:rFonts w:hint="eastAsia" w:ascii="仿宋_GB2312" w:hAnsi="仿宋" w:eastAsia="仿宋_GB2312" w:cs="仿宋"/>
          <w:sz w:val="32"/>
          <w:szCs w:val="32"/>
        </w:rPr>
        <w:t xml:space="preserve">    贯彻落实《中共中央</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国务院关于深化医疗保障制度改革的意见》，促进我国医疗保</w:t>
      </w:r>
      <w:r>
        <w:rPr>
          <w:rFonts w:hint="eastAsia" w:ascii="仿宋_GB2312" w:hAnsi="仿宋" w:eastAsia="仿宋_GB2312" w:cs="仿宋"/>
          <w:sz w:val="32"/>
          <w:szCs w:val="32"/>
          <w:lang w:val="en-US" w:eastAsia="zh-CN"/>
        </w:rPr>
        <w:t>障</w:t>
      </w:r>
      <w:r>
        <w:rPr>
          <w:rFonts w:hint="eastAsia" w:ascii="仿宋_GB2312" w:hAnsi="仿宋" w:eastAsia="仿宋_GB2312" w:cs="仿宋"/>
          <w:sz w:val="32"/>
          <w:szCs w:val="32"/>
        </w:rPr>
        <w:t>事业的协调、可持续、快速发展和卫生健康服务体系的日臻完善，保障人民群众的健康。根据《首都医科大学国家医疗保障研究院开放性课题项目管理办法》，推动我国医疗保</w:t>
      </w:r>
      <w:r>
        <w:rPr>
          <w:rFonts w:hint="eastAsia" w:ascii="仿宋_GB2312" w:hAnsi="仿宋" w:eastAsia="仿宋_GB2312" w:cs="仿宋"/>
          <w:sz w:val="32"/>
          <w:szCs w:val="32"/>
          <w:lang w:val="en-US" w:eastAsia="zh-CN"/>
        </w:rPr>
        <w:t>障</w:t>
      </w:r>
      <w:r>
        <w:rPr>
          <w:rFonts w:hint="eastAsia" w:ascii="仿宋_GB2312" w:hAnsi="仿宋" w:eastAsia="仿宋_GB2312" w:cs="仿宋"/>
          <w:sz w:val="32"/>
          <w:szCs w:val="32"/>
        </w:rPr>
        <w:t>领域的基础理论研究、应用研究，</w:t>
      </w:r>
      <w:r>
        <w:rPr>
          <w:rFonts w:hint="eastAsia" w:ascii="仿宋_GB2312" w:eastAsia="仿宋_GB2312"/>
          <w:sz w:val="32"/>
          <w:szCs w:val="32"/>
          <w:lang w:val="zh-CN"/>
        </w:rPr>
        <w:t>为完善医保政策提供参考依据</w:t>
      </w:r>
      <w:r>
        <w:rPr>
          <w:rFonts w:hint="eastAsia" w:eastAsia="仿宋_GB2312" w:asciiTheme="minorHAnsi" w:hAnsiTheme="minorHAnsi"/>
          <w:sz w:val="32"/>
          <w:szCs w:val="32"/>
        </w:rPr>
        <w:t>，</w:t>
      </w:r>
      <w:r>
        <w:rPr>
          <w:rFonts w:hint="eastAsia" w:ascii="仿宋_GB2312" w:eastAsia="仿宋_GB2312" w:cs="仿宋_GB2312"/>
          <w:sz w:val="32"/>
          <w:szCs w:val="32"/>
        </w:rPr>
        <w:t>促进我国医疗保</w:t>
      </w:r>
      <w:r>
        <w:rPr>
          <w:rFonts w:hint="eastAsia" w:ascii="仿宋_GB2312" w:eastAsia="仿宋_GB2312" w:cs="仿宋_GB2312"/>
          <w:sz w:val="32"/>
          <w:szCs w:val="32"/>
          <w:lang w:val="en-US" w:eastAsia="zh-CN"/>
        </w:rPr>
        <w:t>障</w:t>
      </w:r>
      <w:r>
        <w:rPr>
          <w:rFonts w:hint="eastAsia" w:ascii="仿宋_GB2312" w:eastAsia="仿宋_GB2312" w:cs="仿宋_GB2312"/>
          <w:sz w:val="32"/>
          <w:szCs w:val="32"/>
        </w:rPr>
        <w:t>事业改革发展。</w:t>
      </w:r>
    </w:p>
    <w:p>
      <w:pPr>
        <w:adjustRightInd w:val="0"/>
        <w:snapToGrid w:val="0"/>
        <w:spacing w:line="588" w:lineRule="exact"/>
        <w:ind w:firstLine="622" w:firstLineChars="200"/>
        <w:rPr>
          <w:rFonts w:ascii="黑体" w:hAnsi="黑体" w:eastAsia="黑体" w:cs="黑体"/>
          <w:sz w:val="32"/>
          <w:szCs w:val="32"/>
        </w:rPr>
      </w:pPr>
      <w:r>
        <w:rPr>
          <w:rFonts w:hint="eastAsia" w:ascii="黑体" w:hAnsi="黑体" w:eastAsia="黑体" w:cs="黑体"/>
          <w:sz w:val="32"/>
          <w:szCs w:val="32"/>
        </w:rPr>
        <w:t>二、研究周期</w:t>
      </w:r>
    </w:p>
    <w:p>
      <w:pPr>
        <w:spacing w:line="588" w:lineRule="exact"/>
        <w:ind w:firstLine="622" w:firstLineChars="200"/>
        <w:rPr>
          <w:rFonts w:hint="eastAsia" w:ascii="仿宋_GB2312" w:eastAsia="仿宋_GB2312" w:cs="仿宋_GB2312"/>
          <w:sz w:val="32"/>
          <w:szCs w:val="32"/>
        </w:rPr>
      </w:pPr>
      <w:r>
        <w:rPr>
          <w:rFonts w:hint="eastAsia" w:ascii="仿宋_GB2312" w:eastAsia="仿宋_GB2312" w:cs="仿宋_GB2312"/>
          <w:sz w:val="32"/>
          <w:szCs w:val="32"/>
        </w:rPr>
        <w:t>研究周期为一年，</w:t>
      </w:r>
      <w:r>
        <w:rPr>
          <w:rFonts w:hint="eastAsia" w:ascii="仿宋_GB2312" w:eastAsia="仿宋_GB2312" w:cs="仿宋_GB2312"/>
          <w:sz w:val="32"/>
          <w:szCs w:val="32"/>
          <w:lang w:val="en-US" w:eastAsia="zh-CN"/>
        </w:rPr>
        <w:t>自课题立项通知发布之日算起</w:t>
      </w:r>
      <w:r>
        <w:rPr>
          <w:rFonts w:hint="eastAsia" w:ascii="仿宋_GB2312" w:eastAsia="仿宋_GB2312" w:cs="仿宋_GB2312"/>
          <w:sz w:val="32"/>
          <w:szCs w:val="32"/>
        </w:rPr>
        <w:t>。</w:t>
      </w:r>
    </w:p>
    <w:p>
      <w:pPr>
        <w:adjustRightInd w:val="0"/>
        <w:snapToGrid w:val="0"/>
        <w:spacing w:line="588" w:lineRule="exact"/>
        <w:ind w:firstLine="622" w:firstLineChars="200"/>
        <w:rPr>
          <w:rFonts w:ascii="黑体" w:hAnsi="黑体" w:eastAsia="黑体" w:cs="黑体"/>
          <w:sz w:val="32"/>
          <w:szCs w:val="32"/>
        </w:rPr>
      </w:pPr>
      <w:r>
        <w:rPr>
          <w:rFonts w:hint="eastAsia" w:ascii="黑体" w:hAnsi="黑体" w:eastAsia="黑体" w:cs="黑体"/>
          <w:sz w:val="32"/>
          <w:szCs w:val="32"/>
        </w:rPr>
        <w:t>三、申报指南</w:t>
      </w:r>
    </w:p>
    <w:p>
      <w:pPr>
        <w:adjustRightInd w:val="0"/>
        <w:snapToGrid w:val="0"/>
        <w:spacing w:line="588" w:lineRule="exact"/>
        <w:ind w:firstLine="610" w:firstLineChars="196"/>
        <w:rPr>
          <w:rFonts w:ascii="楷体_GB2312" w:hAnsi="楷体" w:eastAsia="楷体_GB2312" w:cs="楷体"/>
          <w:bCs/>
          <w:sz w:val="32"/>
          <w:szCs w:val="32"/>
        </w:rPr>
      </w:pPr>
      <w:r>
        <w:rPr>
          <w:rFonts w:hint="eastAsia" w:ascii="楷体_GB2312" w:hAnsi="楷体" w:eastAsia="楷体_GB2312" w:cs="楷体"/>
          <w:bCs/>
          <w:sz w:val="32"/>
          <w:szCs w:val="32"/>
        </w:rPr>
        <w:t>（一）重点项目</w:t>
      </w:r>
    </w:p>
    <w:p>
      <w:pPr>
        <w:adjustRightInd w:val="0"/>
        <w:snapToGrid w:val="0"/>
        <w:spacing w:line="588" w:lineRule="exact"/>
        <w:ind w:firstLine="607" w:firstLineChars="195"/>
        <w:rPr>
          <w:rFonts w:hint="eastAsia" w:ascii="仿宋_GB2312" w:hAnsi="仿宋" w:eastAsia="仿宋_GB2312" w:cs="仿宋"/>
          <w:b/>
          <w:bCs/>
          <w:sz w:val="32"/>
          <w:szCs w:val="32"/>
        </w:rPr>
      </w:pPr>
      <w:r>
        <w:rPr>
          <w:rFonts w:hint="eastAsia" w:ascii="仿宋_GB2312" w:hAnsi="仿宋" w:eastAsia="仿宋_GB2312" w:cs="仿宋"/>
          <w:b/>
          <w:bCs/>
          <w:sz w:val="32"/>
          <w:szCs w:val="32"/>
        </w:rPr>
        <w:t>三重保障制度之间相互衔接与功能定位研究</w:t>
      </w:r>
      <w:r>
        <w:rPr>
          <w:rFonts w:hint="eastAsia" w:ascii="仿宋_GB2312" w:hAnsi="仿宋" w:eastAsia="仿宋_GB2312" w:cs="仿宋"/>
          <w:b/>
          <w:bCs/>
          <w:sz w:val="32"/>
          <w:szCs w:val="32"/>
        </w:rPr>
        <w:tab/>
      </w:r>
    </w:p>
    <w:p>
      <w:pPr>
        <w:adjustRightInd w:val="0"/>
        <w:snapToGrid w:val="0"/>
        <w:spacing w:line="588" w:lineRule="exact"/>
        <w:ind w:firstLine="607" w:firstLineChars="195"/>
        <w:rPr>
          <w:rFonts w:hint="eastAsia" w:ascii="仿宋_GB2312" w:hAnsi="仿宋" w:eastAsia="仿宋_GB2312" w:cs="仿宋"/>
          <w:spacing w:val="0"/>
          <w:sz w:val="32"/>
          <w:szCs w:val="32"/>
        </w:rPr>
      </w:pPr>
      <w:r>
        <w:rPr>
          <w:rFonts w:hint="eastAsia" w:ascii="仿宋_GB2312" w:hAnsi="仿宋" w:eastAsia="仿宋_GB2312" w:cs="仿宋"/>
          <w:spacing w:val="0"/>
          <w:sz w:val="32"/>
          <w:szCs w:val="32"/>
        </w:rPr>
        <w:t>一是研究多层次医疗保障体系现状和不足，进一步明确基本医保、大病保险、医疗救助等制度之间的边界和衔接（包括慈善医疗救助定位，与三</w:t>
      </w:r>
      <w:r>
        <w:rPr>
          <w:rFonts w:hint="eastAsia" w:ascii="仿宋_GB2312" w:hAnsi="仿宋" w:eastAsia="仿宋_GB2312" w:cs="仿宋"/>
          <w:spacing w:val="0"/>
          <w:sz w:val="32"/>
          <w:szCs w:val="32"/>
          <w:lang w:val="en-US" w:eastAsia="zh-CN"/>
        </w:rPr>
        <w:t>重</w:t>
      </w:r>
      <w:r>
        <w:rPr>
          <w:rFonts w:hint="eastAsia" w:ascii="仿宋_GB2312" w:hAnsi="仿宋" w:eastAsia="仿宋_GB2312" w:cs="仿宋"/>
          <w:spacing w:val="0"/>
          <w:sz w:val="32"/>
          <w:szCs w:val="32"/>
        </w:rPr>
        <w:t>保障制度的功能衔接情况）。</w:t>
      </w:r>
    </w:p>
    <w:p>
      <w:pPr>
        <w:adjustRightInd w:val="0"/>
        <w:snapToGrid w:val="0"/>
        <w:spacing w:line="588" w:lineRule="exact"/>
        <w:ind w:firstLine="607" w:firstLineChars="195"/>
        <w:rPr>
          <w:rFonts w:hint="eastAsia" w:ascii="仿宋_GB2312" w:hAnsi="仿宋" w:eastAsia="仿宋_GB2312" w:cs="仿宋"/>
          <w:spacing w:val="0"/>
          <w:sz w:val="32"/>
          <w:szCs w:val="32"/>
        </w:rPr>
      </w:pPr>
      <w:r>
        <w:rPr>
          <w:rFonts w:hint="eastAsia" w:ascii="仿宋_GB2312" w:hAnsi="仿宋" w:eastAsia="仿宋_GB2312" w:cs="仿宋"/>
          <w:spacing w:val="0"/>
          <w:sz w:val="32"/>
          <w:szCs w:val="32"/>
        </w:rPr>
        <w:t>二是梳理研究多渠道筹资政策，提出稳定筹资增长机制的措施建议。</w:t>
      </w:r>
    </w:p>
    <w:p>
      <w:pPr>
        <w:adjustRightInd w:val="0"/>
        <w:snapToGrid w:val="0"/>
        <w:spacing w:line="588" w:lineRule="exact"/>
        <w:ind w:firstLine="610" w:firstLineChars="196"/>
        <w:rPr>
          <w:rFonts w:ascii="楷体_GB2312" w:hAnsi="楷体" w:eastAsia="楷体_GB2312" w:cs="楷体"/>
          <w:bCs/>
          <w:sz w:val="32"/>
          <w:szCs w:val="32"/>
        </w:rPr>
      </w:pPr>
      <w:r>
        <w:rPr>
          <w:rFonts w:hint="eastAsia" w:ascii="楷体_GB2312" w:hAnsi="楷体" w:eastAsia="楷体_GB2312" w:cs="楷体"/>
          <w:bCs/>
          <w:sz w:val="32"/>
          <w:szCs w:val="32"/>
        </w:rPr>
        <w:t>（二）面上项目</w:t>
      </w:r>
    </w:p>
    <w:p>
      <w:pPr>
        <w:adjustRightInd w:val="0"/>
        <w:snapToGrid w:val="0"/>
        <w:spacing w:line="588" w:lineRule="exact"/>
        <w:ind w:firstLine="607" w:firstLineChars="195"/>
        <w:rPr>
          <w:rFonts w:hint="eastAsia" w:ascii="仿宋_GB2312" w:hAnsi="仿宋" w:eastAsia="仿宋_GB2312" w:cs="仿宋"/>
          <w:b/>
          <w:bCs/>
          <w:sz w:val="32"/>
          <w:szCs w:val="32"/>
        </w:rPr>
      </w:pPr>
      <w:r>
        <w:rPr>
          <w:rFonts w:hint="eastAsia" w:ascii="仿宋_GB2312" w:hAnsi="仿宋" w:eastAsia="仿宋_GB2312" w:cs="仿宋"/>
          <w:b/>
          <w:bCs w:val="0"/>
          <w:sz w:val="32"/>
          <w:szCs w:val="32"/>
          <w:lang w:val="en-US" w:eastAsia="zh-CN"/>
        </w:rPr>
        <w:t>1.</w:t>
      </w:r>
      <w:r>
        <w:rPr>
          <w:rFonts w:hint="eastAsia" w:ascii="仿宋_GB2312" w:hAnsi="仿宋" w:eastAsia="仿宋_GB2312" w:cs="仿宋"/>
          <w:b/>
          <w:bCs/>
          <w:sz w:val="32"/>
          <w:szCs w:val="32"/>
        </w:rPr>
        <w:t>“智慧医保”内涵外延、业务领域及发展途径研究</w:t>
      </w:r>
      <w:r>
        <w:rPr>
          <w:rFonts w:hint="eastAsia" w:ascii="仿宋_GB2312" w:hAnsi="仿宋" w:eastAsia="仿宋_GB2312" w:cs="仿宋"/>
          <w:b/>
          <w:bCs/>
          <w:sz w:val="32"/>
          <w:szCs w:val="32"/>
        </w:rPr>
        <w:tab/>
      </w:r>
    </w:p>
    <w:p>
      <w:pPr>
        <w:adjustRightInd w:val="0"/>
        <w:snapToGrid w:val="0"/>
        <w:spacing w:line="588" w:lineRule="exact"/>
        <w:ind w:firstLine="607" w:firstLineChars="195"/>
        <w:rPr>
          <w:rFonts w:hint="eastAsia" w:ascii="仿宋_GB2312" w:hAnsi="仿宋" w:eastAsia="仿宋_GB2312" w:cs="仿宋"/>
          <w:sz w:val="32"/>
          <w:szCs w:val="32"/>
        </w:rPr>
      </w:pPr>
      <w:r>
        <w:rPr>
          <w:rFonts w:hint="eastAsia" w:ascii="仿宋_GB2312" w:hAnsi="仿宋" w:eastAsia="仿宋_GB2312" w:cs="仿宋"/>
          <w:sz w:val="32"/>
          <w:szCs w:val="32"/>
        </w:rPr>
        <w:t>随着全国统一的医保信息平台建成应用，为智慧医保发展奠定了坚实基础。“海量数据”汇集国家医保信息平台，智慧医保将迎来“井喷式”发展。</w:t>
      </w:r>
    </w:p>
    <w:p>
      <w:pPr>
        <w:adjustRightInd w:val="0"/>
        <w:snapToGrid w:val="0"/>
        <w:spacing w:line="588" w:lineRule="exact"/>
        <w:ind w:firstLine="607" w:firstLineChars="195"/>
        <w:rPr>
          <w:rFonts w:hint="eastAsia" w:ascii="仿宋_GB2312" w:hAnsi="仿宋" w:eastAsia="仿宋_GB2312" w:cs="仿宋"/>
          <w:sz w:val="32"/>
          <w:szCs w:val="32"/>
        </w:rPr>
      </w:pPr>
      <w:r>
        <w:rPr>
          <w:rFonts w:hint="eastAsia" w:ascii="仿宋_GB2312" w:hAnsi="仿宋" w:eastAsia="仿宋_GB2312" w:cs="仿宋"/>
          <w:sz w:val="32"/>
          <w:szCs w:val="32"/>
        </w:rPr>
        <w:t>研究需厘清我国“智慧医保”目标内涵外延，主要覆盖的业务领域，透视当前行业发展情况，借鉴国外实践经验及发展历程，针对性的提出建设智慧医保的可行性路径，助力医保“决策数字化、管理精细化、服务智慧化”。</w:t>
      </w:r>
    </w:p>
    <w:p>
      <w:pPr>
        <w:adjustRightInd w:val="0"/>
        <w:snapToGrid w:val="0"/>
        <w:spacing w:line="588" w:lineRule="exact"/>
        <w:ind w:firstLine="607" w:firstLineChars="195"/>
        <w:rPr>
          <w:rFonts w:hint="eastAsia" w:ascii="仿宋_GB2312" w:hAnsi="仿宋" w:eastAsia="仿宋_GB2312" w:cs="仿宋"/>
          <w:b/>
          <w:bCs w:val="0"/>
          <w:sz w:val="32"/>
          <w:szCs w:val="32"/>
        </w:rPr>
      </w:pPr>
      <w:r>
        <w:rPr>
          <w:rFonts w:hint="eastAsia" w:ascii="仿宋_GB2312" w:hAnsi="仿宋" w:eastAsia="仿宋_GB2312" w:cs="仿宋"/>
          <w:b/>
          <w:bCs w:val="0"/>
          <w:sz w:val="32"/>
          <w:szCs w:val="32"/>
          <w:lang w:val="en-US" w:eastAsia="zh-CN"/>
        </w:rPr>
        <w:t>2.</w:t>
      </w:r>
      <w:r>
        <w:rPr>
          <w:rFonts w:hint="eastAsia" w:ascii="仿宋_GB2312" w:hAnsi="仿宋" w:eastAsia="仿宋_GB2312" w:cs="仿宋"/>
          <w:b/>
          <w:bCs w:val="0"/>
          <w:sz w:val="32"/>
          <w:szCs w:val="32"/>
        </w:rPr>
        <w:t>医疗保障大数据挖掘处理新技术及应用案例研究</w:t>
      </w:r>
      <w:r>
        <w:rPr>
          <w:rFonts w:hint="eastAsia" w:ascii="仿宋_GB2312" w:hAnsi="仿宋" w:eastAsia="仿宋_GB2312" w:cs="仿宋"/>
          <w:b/>
          <w:bCs w:val="0"/>
          <w:sz w:val="32"/>
          <w:szCs w:val="32"/>
        </w:rPr>
        <w:tab/>
      </w:r>
    </w:p>
    <w:p>
      <w:pPr>
        <w:adjustRightInd w:val="0"/>
        <w:snapToGrid w:val="0"/>
        <w:spacing w:line="588" w:lineRule="exact"/>
        <w:ind w:firstLine="607" w:firstLineChars="195"/>
        <w:rPr>
          <w:rFonts w:hint="eastAsia" w:ascii="仿宋_GB2312" w:hAnsi="仿宋" w:eastAsia="仿宋_GB2312" w:cs="仿宋"/>
          <w:bCs/>
          <w:sz w:val="32"/>
          <w:szCs w:val="32"/>
        </w:rPr>
      </w:pPr>
      <w:r>
        <w:rPr>
          <w:rFonts w:hint="eastAsia" w:ascii="仿宋_GB2312" w:hAnsi="仿宋" w:eastAsia="仿宋_GB2312" w:cs="仿宋"/>
          <w:bCs/>
          <w:sz w:val="32"/>
          <w:szCs w:val="32"/>
        </w:rPr>
        <w:t>大数据、区块链等新技术不断应用医疗保障业务、决策、服务中，整个行业将迎来“井喷式”发展，信息技术支撑全流程全业务服务，推进服务更高效、监管更智能、决策更科学。研究需全面梳理在医保大数据挖掘处理中应用的新技术、新手段、新工具，深入总结剖析地方医保大数据+新技术应用案例，更好的为人群服务、为业务服务、为决策服务。</w:t>
      </w:r>
    </w:p>
    <w:p>
      <w:pPr>
        <w:adjustRightInd w:val="0"/>
        <w:snapToGrid w:val="0"/>
        <w:spacing w:line="588" w:lineRule="exact"/>
        <w:ind w:firstLine="607" w:firstLineChars="195"/>
        <w:rPr>
          <w:rFonts w:hint="eastAsia" w:ascii="仿宋_GB2312" w:hAnsi="仿宋" w:eastAsia="仿宋_GB2312" w:cs="仿宋"/>
          <w:bCs/>
          <w:sz w:val="32"/>
          <w:szCs w:val="32"/>
        </w:rPr>
      </w:pPr>
      <w:r>
        <w:rPr>
          <w:rFonts w:hint="eastAsia" w:ascii="仿宋_GB2312" w:hAnsi="仿宋" w:eastAsia="仿宋_GB2312" w:cs="仿宋"/>
          <w:b/>
          <w:bCs w:val="0"/>
          <w:sz w:val="32"/>
          <w:szCs w:val="32"/>
          <w:lang w:val="en-US" w:eastAsia="zh-CN"/>
        </w:rPr>
        <w:t>3.</w:t>
      </w:r>
      <w:r>
        <w:rPr>
          <w:rFonts w:hint="eastAsia" w:ascii="仿宋_GB2312" w:hAnsi="仿宋" w:eastAsia="仿宋_GB2312" w:cs="仿宋"/>
          <w:b/>
          <w:bCs w:val="0"/>
          <w:sz w:val="32"/>
          <w:szCs w:val="32"/>
        </w:rPr>
        <w:t>儿童医疗保障情况研究</w:t>
      </w:r>
      <w:r>
        <w:rPr>
          <w:rFonts w:hint="eastAsia" w:ascii="仿宋_GB2312" w:hAnsi="仿宋" w:eastAsia="仿宋_GB2312" w:cs="仿宋"/>
          <w:bCs/>
          <w:sz w:val="32"/>
          <w:szCs w:val="32"/>
        </w:rPr>
        <w:tab/>
      </w:r>
    </w:p>
    <w:p>
      <w:pPr>
        <w:adjustRightInd w:val="0"/>
        <w:snapToGrid w:val="0"/>
        <w:spacing w:line="588" w:lineRule="exact"/>
        <w:ind w:firstLine="607" w:firstLineChars="195"/>
        <w:rPr>
          <w:rFonts w:hint="eastAsia" w:ascii="仿宋_GB2312" w:hAnsi="仿宋" w:eastAsia="仿宋_GB2312" w:cs="仿宋"/>
          <w:bCs/>
          <w:sz w:val="32"/>
          <w:szCs w:val="32"/>
        </w:rPr>
      </w:pPr>
      <w:r>
        <w:rPr>
          <w:rFonts w:hint="eastAsia" w:ascii="仿宋_GB2312" w:hAnsi="仿宋" w:eastAsia="仿宋_GB2312" w:cs="仿宋"/>
          <w:bCs/>
          <w:sz w:val="32"/>
          <w:szCs w:val="32"/>
        </w:rPr>
        <w:t>梳理儿童医疗服务特点，重点研究0-6岁儿童医疗费用特点和保障现状，结合国内外实践经验，研提政策建议。</w:t>
      </w:r>
    </w:p>
    <w:p>
      <w:pPr>
        <w:adjustRightInd w:val="0"/>
        <w:snapToGrid w:val="0"/>
        <w:spacing w:line="588" w:lineRule="exact"/>
        <w:ind w:firstLine="607" w:firstLineChars="195"/>
        <w:rPr>
          <w:rFonts w:hint="eastAsia" w:ascii="仿宋_GB2312" w:hAnsi="仿宋" w:eastAsia="仿宋_GB2312" w:cs="仿宋"/>
          <w:b/>
          <w:bCs w:val="0"/>
          <w:sz w:val="32"/>
          <w:szCs w:val="32"/>
        </w:rPr>
      </w:pPr>
      <w:r>
        <w:rPr>
          <w:rFonts w:hint="eastAsia" w:ascii="仿宋_GB2312" w:hAnsi="仿宋" w:eastAsia="仿宋_GB2312" w:cs="仿宋"/>
          <w:b/>
          <w:bCs w:val="0"/>
          <w:sz w:val="32"/>
          <w:szCs w:val="32"/>
          <w:lang w:val="en-US" w:eastAsia="zh-CN"/>
        </w:rPr>
        <w:t>4.</w:t>
      </w:r>
      <w:r>
        <w:rPr>
          <w:rFonts w:hint="eastAsia" w:ascii="仿宋_GB2312" w:hAnsi="仿宋" w:eastAsia="仿宋_GB2312" w:cs="仿宋"/>
          <w:b/>
          <w:bCs w:val="0"/>
          <w:sz w:val="32"/>
          <w:szCs w:val="32"/>
        </w:rPr>
        <w:t>农村</w:t>
      </w:r>
      <w:r>
        <w:rPr>
          <w:rFonts w:hint="eastAsia" w:ascii="仿宋_GB2312" w:hAnsi="仿宋" w:eastAsia="仿宋_GB2312" w:cs="仿宋"/>
          <w:b/>
          <w:bCs w:val="0"/>
          <w:sz w:val="32"/>
          <w:szCs w:val="32"/>
          <w:lang w:val="en-US" w:eastAsia="zh-CN"/>
        </w:rPr>
        <w:t>地区</w:t>
      </w:r>
      <w:r>
        <w:rPr>
          <w:rFonts w:hint="eastAsia" w:ascii="仿宋_GB2312" w:hAnsi="仿宋" w:eastAsia="仿宋_GB2312" w:cs="仿宋"/>
          <w:b/>
          <w:bCs w:val="0"/>
          <w:sz w:val="32"/>
          <w:szCs w:val="32"/>
        </w:rPr>
        <w:t>居民医疗保障</w:t>
      </w:r>
      <w:r>
        <w:rPr>
          <w:rFonts w:hint="eastAsia" w:ascii="仿宋_GB2312" w:hAnsi="仿宋" w:eastAsia="仿宋_GB2312" w:cs="仿宋"/>
          <w:b/>
          <w:bCs w:val="0"/>
          <w:sz w:val="32"/>
          <w:szCs w:val="32"/>
          <w:lang w:val="en-US" w:eastAsia="zh-CN"/>
        </w:rPr>
        <w:t>情况</w:t>
      </w:r>
      <w:r>
        <w:rPr>
          <w:rFonts w:hint="eastAsia" w:ascii="仿宋_GB2312" w:hAnsi="仿宋" w:eastAsia="仿宋_GB2312" w:cs="仿宋"/>
          <w:b/>
          <w:bCs w:val="0"/>
          <w:sz w:val="32"/>
          <w:szCs w:val="32"/>
        </w:rPr>
        <w:t>研究</w:t>
      </w:r>
    </w:p>
    <w:p>
      <w:pPr>
        <w:adjustRightInd w:val="0"/>
        <w:snapToGrid w:val="0"/>
        <w:spacing w:line="588" w:lineRule="exact"/>
        <w:ind w:firstLine="607" w:firstLineChars="195"/>
        <w:rPr>
          <w:rFonts w:hint="eastAsia" w:ascii="仿宋_GB2312" w:hAnsi="仿宋" w:eastAsia="仿宋_GB2312" w:cs="仿宋"/>
          <w:bCs/>
          <w:sz w:val="32"/>
          <w:szCs w:val="32"/>
        </w:rPr>
      </w:pPr>
      <w:r>
        <w:rPr>
          <w:rFonts w:hint="eastAsia" w:ascii="仿宋_GB2312" w:hAnsi="仿宋" w:eastAsia="仿宋_GB2312" w:cs="仿宋"/>
          <w:bCs/>
          <w:sz w:val="32"/>
          <w:szCs w:val="32"/>
        </w:rPr>
        <w:t>以农村地区为重点，结合医疗资源分布，分析农村居民医疗服务利用情况，结合农村居民收入特点，研究提出完善农村居民筹资和待遇的对策建议。</w:t>
      </w:r>
    </w:p>
    <w:p>
      <w:pPr>
        <w:adjustRightInd w:val="0"/>
        <w:snapToGrid w:val="0"/>
        <w:spacing w:line="588" w:lineRule="exact"/>
        <w:ind w:firstLine="607" w:firstLineChars="195"/>
        <w:rPr>
          <w:rFonts w:hint="eastAsia" w:ascii="仿宋_GB2312" w:hAnsi="仿宋" w:eastAsia="仿宋_GB2312" w:cs="仿宋"/>
          <w:bCs/>
          <w:sz w:val="32"/>
          <w:szCs w:val="32"/>
        </w:rPr>
      </w:pPr>
      <w:r>
        <w:rPr>
          <w:rFonts w:hint="eastAsia" w:ascii="仿宋_GB2312" w:hAnsi="仿宋" w:eastAsia="仿宋_GB2312" w:cs="仿宋"/>
          <w:b/>
          <w:bCs w:val="0"/>
          <w:sz w:val="32"/>
          <w:szCs w:val="32"/>
          <w:lang w:val="en-US" w:eastAsia="zh-CN"/>
        </w:rPr>
        <w:t>5.</w:t>
      </w:r>
      <w:r>
        <w:rPr>
          <w:rFonts w:hint="eastAsia" w:ascii="仿宋_GB2312" w:hAnsi="仿宋" w:eastAsia="仿宋_GB2312" w:cs="仿宋"/>
          <w:b/>
          <w:bCs w:val="0"/>
          <w:sz w:val="32"/>
          <w:szCs w:val="32"/>
        </w:rPr>
        <w:t>长期护理保险经济社会效应研究</w:t>
      </w:r>
    </w:p>
    <w:p>
      <w:pPr>
        <w:adjustRightInd w:val="0"/>
        <w:snapToGrid w:val="0"/>
        <w:spacing w:line="588" w:lineRule="exact"/>
        <w:ind w:firstLine="607" w:firstLineChars="195"/>
        <w:rPr>
          <w:rFonts w:hint="eastAsia" w:ascii="仿宋_GB2312" w:hAnsi="仿宋" w:eastAsia="仿宋_GB2312" w:cs="仿宋"/>
          <w:bCs/>
          <w:sz w:val="32"/>
          <w:szCs w:val="32"/>
        </w:rPr>
      </w:pPr>
      <w:r>
        <w:rPr>
          <w:rFonts w:hint="eastAsia" w:ascii="仿宋_GB2312" w:hAnsi="仿宋" w:eastAsia="仿宋_GB2312" w:cs="仿宋"/>
          <w:bCs/>
          <w:sz w:val="32"/>
          <w:szCs w:val="32"/>
        </w:rPr>
        <w:t>挖掘梳理分析国际和国内长期护理保险制度在保障失能人员基本护理保障需求，稳经济、促就业、扩内需等方面的积极作用，提出更好发挥制度功能的政策建议。</w:t>
      </w:r>
    </w:p>
    <w:p>
      <w:pPr>
        <w:adjustRightInd w:val="0"/>
        <w:snapToGrid w:val="0"/>
        <w:spacing w:line="588" w:lineRule="exact"/>
        <w:ind w:firstLine="607" w:firstLineChars="195"/>
        <w:rPr>
          <w:rFonts w:hint="eastAsia" w:ascii="仿宋_GB2312" w:hAnsi="仿宋" w:eastAsia="仿宋_GB2312" w:cs="仿宋"/>
          <w:b/>
          <w:bCs w:val="0"/>
          <w:sz w:val="32"/>
          <w:szCs w:val="32"/>
        </w:rPr>
      </w:pPr>
      <w:r>
        <w:rPr>
          <w:rFonts w:hint="eastAsia" w:ascii="仿宋_GB2312" w:hAnsi="仿宋" w:eastAsia="仿宋_GB2312" w:cs="仿宋"/>
          <w:b/>
          <w:bCs w:val="0"/>
          <w:sz w:val="32"/>
          <w:szCs w:val="32"/>
          <w:lang w:val="en-US" w:eastAsia="zh-CN"/>
        </w:rPr>
        <w:t>6.</w:t>
      </w:r>
      <w:r>
        <w:rPr>
          <w:rFonts w:hint="eastAsia" w:ascii="仿宋_GB2312" w:hAnsi="仿宋" w:eastAsia="仿宋_GB2312" w:cs="仿宋"/>
          <w:b/>
          <w:bCs w:val="0"/>
          <w:sz w:val="32"/>
          <w:szCs w:val="32"/>
        </w:rPr>
        <w:t>商业健康保险发展现状研究</w:t>
      </w:r>
      <w:r>
        <w:rPr>
          <w:rFonts w:hint="eastAsia" w:ascii="仿宋_GB2312" w:hAnsi="仿宋" w:eastAsia="仿宋_GB2312" w:cs="仿宋"/>
          <w:b/>
          <w:bCs w:val="0"/>
          <w:sz w:val="32"/>
          <w:szCs w:val="32"/>
        </w:rPr>
        <w:tab/>
      </w:r>
    </w:p>
    <w:p>
      <w:pPr>
        <w:adjustRightInd w:val="0"/>
        <w:snapToGrid w:val="0"/>
        <w:spacing w:line="588" w:lineRule="exact"/>
        <w:ind w:firstLine="607" w:firstLineChars="195"/>
        <w:rPr>
          <w:rFonts w:hint="eastAsia" w:ascii="仿宋_GB2312" w:hAnsi="仿宋" w:eastAsia="仿宋_GB2312" w:cs="仿宋"/>
          <w:bCs/>
          <w:sz w:val="32"/>
          <w:szCs w:val="32"/>
        </w:rPr>
      </w:pPr>
      <w:r>
        <w:rPr>
          <w:rFonts w:hint="eastAsia" w:ascii="仿宋_GB2312" w:hAnsi="仿宋" w:eastAsia="仿宋_GB2312" w:cs="仿宋"/>
          <w:bCs/>
          <w:sz w:val="32"/>
          <w:szCs w:val="32"/>
        </w:rPr>
        <w:t>系统梳理健康保险国际发展经验及我国商业健康保险发展现状，结合近年来我国医保政策导向，分析我国商业健康保险发展趋势，并提出高质量发展的策略建议。</w:t>
      </w:r>
    </w:p>
    <w:p>
      <w:pPr>
        <w:adjustRightInd w:val="0"/>
        <w:snapToGrid w:val="0"/>
        <w:spacing w:line="588" w:lineRule="exact"/>
        <w:ind w:firstLine="607" w:firstLineChars="195"/>
        <w:rPr>
          <w:rFonts w:hint="eastAsia" w:ascii="仿宋_GB2312" w:hAnsi="仿宋" w:eastAsia="仿宋_GB2312" w:cs="仿宋"/>
          <w:b/>
          <w:bCs w:val="0"/>
          <w:sz w:val="32"/>
          <w:szCs w:val="32"/>
        </w:rPr>
      </w:pPr>
      <w:r>
        <w:rPr>
          <w:rFonts w:hint="eastAsia" w:ascii="仿宋_GB2312" w:hAnsi="仿宋" w:eastAsia="仿宋_GB2312" w:cs="仿宋"/>
          <w:b/>
          <w:bCs w:val="0"/>
          <w:sz w:val="32"/>
          <w:szCs w:val="32"/>
          <w:lang w:val="en-US" w:eastAsia="zh-CN"/>
        </w:rPr>
        <w:t>7.</w:t>
      </w:r>
      <w:r>
        <w:rPr>
          <w:rFonts w:hint="eastAsia" w:ascii="仿宋_GB2312" w:hAnsi="仿宋" w:eastAsia="仿宋_GB2312" w:cs="仿宋"/>
          <w:b/>
          <w:bCs w:val="0"/>
          <w:sz w:val="32"/>
          <w:szCs w:val="32"/>
        </w:rPr>
        <w:t>商业健康保险在多层次医疗保障体系建设中的地位和作用研究</w:t>
      </w:r>
      <w:r>
        <w:rPr>
          <w:rFonts w:hint="eastAsia" w:ascii="仿宋_GB2312" w:hAnsi="仿宋" w:eastAsia="仿宋_GB2312" w:cs="仿宋"/>
          <w:b/>
          <w:bCs w:val="0"/>
          <w:sz w:val="32"/>
          <w:szCs w:val="32"/>
        </w:rPr>
        <w:tab/>
      </w:r>
    </w:p>
    <w:p>
      <w:pPr>
        <w:adjustRightInd w:val="0"/>
        <w:snapToGrid w:val="0"/>
        <w:spacing w:line="588" w:lineRule="exact"/>
        <w:ind w:firstLine="607" w:firstLineChars="195"/>
        <w:rPr>
          <w:rFonts w:hint="eastAsia" w:ascii="仿宋_GB2312" w:hAnsi="仿宋" w:eastAsia="仿宋_GB2312" w:cs="仿宋"/>
          <w:bCs/>
          <w:sz w:val="32"/>
          <w:szCs w:val="32"/>
        </w:rPr>
      </w:pPr>
      <w:r>
        <w:rPr>
          <w:rFonts w:hint="eastAsia" w:ascii="仿宋_GB2312" w:hAnsi="仿宋" w:eastAsia="仿宋_GB2312" w:cs="仿宋"/>
          <w:bCs/>
          <w:sz w:val="32"/>
          <w:szCs w:val="32"/>
        </w:rPr>
        <w:t>一是研究在医保高质量发展要求下，多层次医疗保障体系之间发挥什么样的作用及其相互影响；二是商业健康保险在多层次医疗保障体系中具有什么样的地位，发挥什么</w:t>
      </w:r>
      <w:r>
        <w:rPr>
          <w:rFonts w:hint="eastAsia" w:ascii="仿宋_GB2312" w:hAnsi="仿宋" w:eastAsia="仿宋_GB2312" w:cs="仿宋"/>
          <w:bCs/>
          <w:sz w:val="32"/>
          <w:szCs w:val="32"/>
          <w:lang w:val="en-US" w:eastAsia="zh-CN"/>
        </w:rPr>
        <w:t>样</w:t>
      </w:r>
      <w:r>
        <w:rPr>
          <w:rFonts w:hint="eastAsia" w:ascii="仿宋_GB2312" w:hAnsi="仿宋" w:eastAsia="仿宋_GB2312" w:cs="仿宋"/>
          <w:bCs/>
          <w:sz w:val="32"/>
          <w:szCs w:val="32"/>
        </w:rPr>
        <w:t>的作用等。</w:t>
      </w:r>
    </w:p>
    <w:p>
      <w:pPr>
        <w:adjustRightInd w:val="0"/>
        <w:snapToGrid w:val="0"/>
        <w:spacing w:line="588" w:lineRule="exact"/>
        <w:ind w:firstLine="607" w:firstLineChars="195"/>
        <w:rPr>
          <w:rFonts w:hint="eastAsia" w:ascii="仿宋_GB2312" w:hAnsi="仿宋" w:eastAsia="仿宋_GB2312" w:cs="仿宋"/>
          <w:bCs/>
          <w:sz w:val="32"/>
          <w:szCs w:val="32"/>
        </w:rPr>
      </w:pPr>
      <w:r>
        <w:rPr>
          <w:rFonts w:hint="eastAsia" w:ascii="仿宋_GB2312" w:hAnsi="仿宋" w:eastAsia="仿宋_GB2312" w:cs="仿宋"/>
          <w:b/>
          <w:bCs w:val="0"/>
          <w:sz w:val="32"/>
          <w:szCs w:val="32"/>
          <w:lang w:val="en-US" w:eastAsia="zh-CN"/>
        </w:rPr>
        <w:t>8.</w:t>
      </w:r>
      <w:r>
        <w:rPr>
          <w:rFonts w:hint="eastAsia" w:ascii="仿宋_GB2312" w:hAnsi="仿宋" w:eastAsia="仿宋_GB2312" w:cs="仿宋"/>
          <w:b/>
          <w:bCs w:val="0"/>
          <w:sz w:val="32"/>
          <w:szCs w:val="32"/>
        </w:rPr>
        <w:t>DIP医保绩效评价研究</w:t>
      </w:r>
      <w:bookmarkStart w:id="0" w:name="_GoBack"/>
      <w:bookmarkEnd w:id="0"/>
      <w:r>
        <w:rPr>
          <w:rFonts w:hint="eastAsia" w:ascii="仿宋_GB2312" w:hAnsi="仿宋" w:eastAsia="仿宋_GB2312" w:cs="仿宋"/>
          <w:bCs/>
          <w:sz w:val="32"/>
          <w:szCs w:val="32"/>
        </w:rPr>
        <w:tab/>
      </w:r>
    </w:p>
    <w:p>
      <w:pPr>
        <w:adjustRightInd w:val="0"/>
        <w:snapToGrid w:val="0"/>
        <w:spacing w:line="588" w:lineRule="exact"/>
        <w:ind w:firstLine="607" w:firstLineChars="195"/>
        <w:rPr>
          <w:rFonts w:hint="eastAsia" w:ascii="仿宋_GB2312" w:hAnsi="仿宋" w:eastAsia="仿宋_GB2312" w:cs="仿宋"/>
          <w:bCs/>
          <w:sz w:val="32"/>
          <w:szCs w:val="32"/>
        </w:rPr>
      </w:pPr>
      <w:r>
        <w:rPr>
          <w:rFonts w:hint="eastAsia" w:ascii="仿宋_GB2312" w:hAnsi="仿宋" w:eastAsia="仿宋_GB2312" w:cs="仿宋"/>
          <w:bCs/>
          <w:sz w:val="32"/>
          <w:szCs w:val="32"/>
        </w:rPr>
        <w:t>建立绩效评价体系，对典型地区实施DIP改革效果进行理论和实践分析。</w:t>
      </w:r>
    </w:p>
    <w:p>
      <w:pPr>
        <w:adjustRightInd w:val="0"/>
        <w:snapToGrid w:val="0"/>
        <w:spacing w:line="588" w:lineRule="exact"/>
        <w:ind w:firstLine="607" w:firstLineChars="195"/>
        <w:rPr>
          <w:rFonts w:hint="eastAsia" w:ascii="仿宋_GB2312" w:hAnsi="仿宋" w:eastAsia="仿宋_GB2312" w:cs="仿宋"/>
          <w:b/>
          <w:bCs w:val="0"/>
          <w:sz w:val="32"/>
          <w:szCs w:val="32"/>
        </w:rPr>
      </w:pPr>
      <w:r>
        <w:rPr>
          <w:rFonts w:hint="eastAsia" w:ascii="仿宋_GB2312" w:hAnsi="仿宋" w:eastAsia="仿宋_GB2312" w:cs="仿宋"/>
          <w:b/>
          <w:bCs w:val="0"/>
          <w:sz w:val="32"/>
          <w:szCs w:val="32"/>
          <w:lang w:val="en-US" w:eastAsia="zh-CN"/>
        </w:rPr>
        <w:t>9.</w:t>
      </w:r>
      <w:r>
        <w:rPr>
          <w:rFonts w:hint="eastAsia" w:ascii="仿宋_GB2312" w:hAnsi="仿宋" w:eastAsia="仿宋_GB2312" w:cs="仿宋"/>
          <w:b/>
          <w:bCs w:val="0"/>
          <w:sz w:val="32"/>
          <w:szCs w:val="32"/>
        </w:rPr>
        <w:t>中成药卫生技术评估指标体系研究</w:t>
      </w:r>
      <w:r>
        <w:rPr>
          <w:rFonts w:hint="eastAsia" w:ascii="仿宋_GB2312" w:hAnsi="仿宋" w:eastAsia="仿宋_GB2312" w:cs="仿宋"/>
          <w:b/>
          <w:bCs w:val="0"/>
          <w:sz w:val="32"/>
          <w:szCs w:val="32"/>
        </w:rPr>
        <w:tab/>
      </w:r>
    </w:p>
    <w:p>
      <w:pPr>
        <w:adjustRightInd w:val="0"/>
        <w:snapToGrid w:val="0"/>
        <w:spacing w:line="588" w:lineRule="exact"/>
        <w:ind w:firstLine="607" w:firstLineChars="195"/>
        <w:rPr>
          <w:rFonts w:hint="eastAsia" w:ascii="仿宋_GB2312" w:hAnsi="仿宋" w:eastAsia="仿宋_GB2312" w:cs="仿宋"/>
          <w:bCs/>
          <w:sz w:val="32"/>
          <w:szCs w:val="32"/>
        </w:rPr>
      </w:pPr>
      <w:r>
        <w:rPr>
          <w:rFonts w:hint="eastAsia" w:ascii="仿宋_GB2312" w:hAnsi="仿宋" w:eastAsia="仿宋_GB2312" w:cs="仿宋"/>
          <w:bCs/>
          <w:sz w:val="32"/>
          <w:szCs w:val="32"/>
        </w:rPr>
        <w:t>秉承循证理念，结合我国中成药特色，形成一套符合我国国情的中成药医保药品评审指标体系，包括维度、支撑指标、指标释义、数据来源、赋权积分规则等，提升我国中成药评审的科学性和规范性。</w:t>
      </w:r>
    </w:p>
    <w:p>
      <w:pPr>
        <w:adjustRightInd w:val="0"/>
        <w:snapToGrid w:val="0"/>
        <w:spacing w:line="588" w:lineRule="exact"/>
        <w:ind w:firstLine="607" w:firstLineChars="195"/>
        <w:rPr>
          <w:rFonts w:hint="eastAsia" w:ascii="仿宋_GB2312" w:hAnsi="仿宋" w:eastAsia="仿宋_GB2312" w:cs="仿宋"/>
          <w:b/>
          <w:bCs w:val="0"/>
          <w:sz w:val="32"/>
          <w:szCs w:val="32"/>
        </w:rPr>
      </w:pPr>
      <w:r>
        <w:rPr>
          <w:rFonts w:hint="eastAsia" w:ascii="仿宋_GB2312" w:hAnsi="仿宋" w:eastAsia="仿宋_GB2312" w:cs="仿宋"/>
          <w:b/>
          <w:bCs w:val="0"/>
          <w:sz w:val="32"/>
          <w:szCs w:val="32"/>
          <w:lang w:val="en-US" w:eastAsia="zh-CN"/>
        </w:rPr>
        <w:t>10.</w:t>
      </w:r>
      <w:r>
        <w:rPr>
          <w:rFonts w:hint="eastAsia" w:ascii="仿宋_GB2312" w:hAnsi="仿宋" w:eastAsia="仿宋_GB2312" w:cs="仿宋"/>
          <w:b/>
          <w:bCs w:val="0"/>
          <w:sz w:val="32"/>
          <w:szCs w:val="32"/>
        </w:rPr>
        <w:t>带量采购和医保谈判对医药产业的影响</w:t>
      </w:r>
      <w:r>
        <w:rPr>
          <w:rFonts w:hint="eastAsia" w:ascii="仿宋_GB2312" w:hAnsi="仿宋" w:eastAsia="仿宋_GB2312" w:cs="仿宋"/>
          <w:b/>
          <w:bCs w:val="0"/>
          <w:sz w:val="32"/>
          <w:szCs w:val="32"/>
        </w:rPr>
        <w:tab/>
      </w:r>
    </w:p>
    <w:p>
      <w:pPr>
        <w:adjustRightInd w:val="0"/>
        <w:snapToGrid w:val="0"/>
        <w:spacing w:line="588" w:lineRule="exact"/>
        <w:ind w:firstLine="622"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梳理行业发展情况、资本市场数据，调研代表企业，邀请专家座谈，客观、定量分析带量采购和医保谈判对医药产业的影响。</w:t>
      </w:r>
    </w:p>
    <w:p>
      <w:pPr>
        <w:adjustRightInd w:val="0"/>
        <w:snapToGrid w:val="0"/>
        <w:spacing w:line="588" w:lineRule="exact"/>
        <w:ind w:firstLine="607" w:firstLineChars="195"/>
        <w:rPr>
          <w:rFonts w:hint="eastAsia" w:ascii="仿宋_GB2312" w:hAnsi="仿宋" w:eastAsia="仿宋_GB2312" w:cs="仿宋"/>
          <w:bCs/>
          <w:sz w:val="32"/>
          <w:szCs w:val="32"/>
        </w:rPr>
      </w:pPr>
      <w:r>
        <w:rPr>
          <w:rFonts w:hint="eastAsia" w:ascii="仿宋_GB2312" w:hAnsi="仿宋" w:eastAsia="仿宋_GB2312" w:cs="仿宋"/>
          <w:b/>
          <w:bCs w:val="0"/>
          <w:sz w:val="32"/>
          <w:szCs w:val="32"/>
          <w:lang w:val="en-US" w:eastAsia="zh-CN"/>
        </w:rPr>
        <w:t>11.</w:t>
      </w:r>
      <w:r>
        <w:rPr>
          <w:rFonts w:hint="eastAsia" w:ascii="仿宋_GB2312" w:hAnsi="仿宋" w:eastAsia="仿宋_GB2312" w:cs="仿宋"/>
          <w:b/>
          <w:bCs w:val="0"/>
          <w:sz w:val="32"/>
          <w:szCs w:val="32"/>
        </w:rPr>
        <w:t>创新通用技术对医疗服务价格机制的影响</w:t>
      </w:r>
      <w:r>
        <w:rPr>
          <w:rFonts w:hint="eastAsia" w:ascii="仿宋_GB2312" w:hAnsi="仿宋" w:eastAsia="仿宋_GB2312" w:cs="仿宋"/>
          <w:bCs/>
          <w:sz w:val="32"/>
          <w:szCs w:val="32"/>
        </w:rPr>
        <w:tab/>
      </w:r>
    </w:p>
    <w:p>
      <w:pPr>
        <w:adjustRightInd w:val="0"/>
        <w:snapToGrid w:val="0"/>
        <w:spacing w:line="588" w:lineRule="exact"/>
        <w:ind w:firstLine="607" w:firstLineChars="195"/>
        <w:rPr>
          <w:rFonts w:hint="eastAsia" w:ascii="仿宋_GB2312" w:hAnsi="仿宋" w:eastAsia="仿宋_GB2312" w:cs="仿宋"/>
          <w:bCs/>
          <w:sz w:val="32"/>
          <w:szCs w:val="32"/>
        </w:rPr>
      </w:pPr>
      <w:r>
        <w:rPr>
          <w:rFonts w:hint="eastAsia" w:ascii="仿宋_GB2312" w:hAnsi="仿宋" w:eastAsia="仿宋_GB2312" w:cs="仿宋"/>
          <w:bCs/>
          <w:sz w:val="32"/>
          <w:szCs w:val="32"/>
        </w:rPr>
        <w:t>分析人工智能、5G通信、数字化技术、手术机器人等创新通用技术对医疗市场运行方式、医疗服务的“产品化”发展以及医疗资源均等化的规律性作用，判断其对医疗服务价格机制的影响，提出前瞻性的意见建议。</w:t>
      </w:r>
    </w:p>
    <w:p>
      <w:pPr>
        <w:adjustRightInd w:val="0"/>
        <w:snapToGrid w:val="0"/>
        <w:spacing w:line="588" w:lineRule="exact"/>
        <w:ind w:firstLine="607" w:firstLineChars="195"/>
        <w:rPr>
          <w:rFonts w:hint="eastAsia" w:ascii="仿宋_GB2312" w:hAnsi="仿宋" w:eastAsia="仿宋_GB2312" w:cs="仿宋"/>
          <w:bCs/>
          <w:sz w:val="32"/>
          <w:szCs w:val="32"/>
        </w:rPr>
      </w:pPr>
      <w:r>
        <w:rPr>
          <w:rFonts w:hint="eastAsia" w:ascii="仿宋_GB2312" w:hAnsi="仿宋" w:eastAsia="仿宋_GB2312" w:cs="仿宋"/>
          <w:b/>
          <w:bCs w:val="0"/>
          <w:sz w:val="32"/>
          <w:szCs w:val="32"/>
          <w:lang w:val="en-US" w:eastAsia="zh-CN"/>
        </w:rPr>
        <w:t>12.</w:t>
      </w:r>
      <w:r>
        <w:rPr>
          <w:rFonts w:hint="eastAsia" w:ascii="仿宋_GB2312" w:hAnsi="仿宋" w:eastAsia="仿宋_GB2312" w:cs="仿宋"/>
          <w:b/>
          <w:bCs w:val="0"/>
          <w:sz w:val="32"/>
          <w:szCs w:val="32"/>
        </w:rPr>
        <w:t>基于DRG/DIP支付方式改革的基金监管方式创新研究</w:t>
      </w:r>
      <w:r>
        <w:rPr>
          <w:rFonts w:hint="eastAsia" w:ascii="仿宋_GB2312" w:hAnsi="仿宋" w:eastAsia="仿宋_GB2312" w:cs="仿宋"/>
          <w:bCs/>
          <w:sz w:val="32"/>
          <w:szCs w:val="32"/>
        </w:rPr>
        <w:tab/>
      </w:r>
    </w:p>
    <w:p>
      <w:pPr>
        <w:adjustRightInd w:val="0"/>
        <w:snapToGrid w:val="0"/>
        <w:spacing w:line="588" w:lineRule="exact"/>
        <w:ind w:firstLine="607" w:firstLineChars="195"/>
        <w:rPr>
          <w:rFonts w:hint="default" w:ascii="仿宋_GB2312" w:hAnsi="仿宋" w:eastAsia="仿宋_GB2312" w:cs="仿宋"/>
          <w:bCs/>
          <w:sz w:val="32"/>
          <w:szCs w:val="32"/>
          <w:lang w:val="en-US" w:eastAsia="zh-CN"/>
        </w:rPr>
      </w:pPr>
      <w:r>
        <w:rPr>
          <w:rFonts w:hint="eastAsia" w:ascii="仿宋_GB2312" w:hAnsi="仿宋" w:eastAsia="仿宋_GB2312" w:cs="仿宋"/>
          <w:bCs/>
          <w:sz w:val="32"/>
          <w:szCs w:val="32"/>
        </w:rPr>
        <w:t>DRG/DIP支付方式改革三年行动计划背景下，针对两种支付方式的付费技术特点，创新监管方式，提升针对性、精准性。</w:t>
      </w:r>
    </w:p>
    <w:p>
      <w:pPr>
        <w:adjustRightInd w:val="0"/>
        <w:snapToGrid w:val="0"/>
        <w:spacing w:line="588" w:lineRule="exact"/>
        <w:ind w:firstLine="607" w:firstLineChars="195"/>
        <w:rPr>
          <w:rFonts w:hint="eastAsia" w:ascii="仿宋_GB2312" w:hAnsi="仿宋" w:eastAsia="仿宋_GB2312" w:cs="仿宋"/>
          <w:b/>
          <w:bCs w:val="0"/>
          <w:sz w:val="32"/>
          <w:szCs w:val="32"/>
        </w:rPr>
      </w:pPr>
      <w:r>
        <w:rPr>
          <w:rFonts w:hint="eastAsia" w:ascii="仿宋_GB2312" w:hAnsi="仿宋" w:eastAsia="仿宋_GB2312" w:cs="仿宋"/>
          <w:b/>
          <w:bCs w:val="0"/>
          <w:sz w:val="32"/>
          <w:szCs w:val="32"/>
          <w:lang w:val="en-US" w:eastAsia="zh-CN"/>
        </w:rPr>
        <w:t>13.</w:t>
      </w:r>
      <w:r>
        <w:rPr>
          <w:rFonts w:hint="eastAsia" w:ascii="仿宋_GB2312" w:hAnsi="仿宋" w:eastAsia="仿宋_GB2312" w:cs="仿宋"/>
          <w:b/>
          <w:bCs w:val="0"/>
          <w:sz w:val="32"/>
          <w:szCs w:val="32"/>
        </w:rPr>
        <w:t>门诊共济保障机制下的医保基金监管方式研究</w:t>
      </w:r>
      <w:r>
        <w:rPr>
          <w:rFonts w:hint="eastAsia" w:ascii="仿宋_GB2312" w:hAnsi="仿宋" w:eastAsia="仿宋_GB2312" w:cs="仿宋"/>
          <w:b/>
          <w:bCs w:val="0"/>
          <w:sz w:val="32"/>
          <w:szCs w:val="32"/>
        </w:rPr>
        <w:tab/>
      </w:r>
    </w:p>
    <w:p>
      <w:pPr>
        <w:adjustRightInd w:val="0"/>
        <w:snapToGrid w:val="0"/>
        <w:spacing w:line="588" w:lineRule="exact"/>
        <w:ind w:firstLine="607" w:firstLineChars="195"/>
        <w:rPr>
          <w:rFonts w:hint="eastAsia" w:ascii="仿宋_GB2312" w:hAnsi="仿宋" w:eastAsia="仿宋_GB2312" w:cs="仿宋"/>
          <w:bCs/>
          <w:sz w:val="32"/>
          <w:szCs w:val="32"/>
        </w:rPr>
      </w:pPr>
      <w:r>
        <w:rPr>
          <w:rFonts w:hint="eastAsia" w:ascii="仿宋_GB2312" w:hAnsi="仿宋" w:eastAsia="仿宋_GB2312" w:cs="仿宋"/>
          <w:bCs/>
          <w:sz w:val="32"/>
          <w:szCs w:val="32"/>
        </w:rPr>
        <w:t>随着门诊共济保障机制的推进，门诊服务量将迎来大幅增加，探索加强门诊医保基金监管的方式方法，避免出现倒药、串换药耗等不良行为。</w:t>
      </w:r>
    </w:p>
    <w:p>
      <w:pPr>
        <w:adjustRightInd w:val="0"/>
        <w:snapToGrid w:val="0"/>
        <w:spacing w:line="588" w:lineRule="exact"/>
        <w:ind w:firstLine="607" w:firstLineChars="195"/>
        <w:rPr>
          <w:rFonts w:hint="eastAsia" w:ascii="仿宋_GB2312" w:hAnsi="仿宋" w:eastAsia="仿宋_GB2312" w:cs="仿宋"/>
          <w:b/>
          <w:bCs w:val="0"/>
          <w:sz w:val="32"/>
          <w:szCs w:val="32"/>
        </w:rPr>
      </w:pPr>
      <w:r>
        <w:rPr>
          <w:rFonts w:hint="eastAsia" w:ascii="仿宋_GB2312" w:hAnsi="仿宋" w:eastAsia="仿宋_GB2312" w:cs="仿宋"/>
          <w:b/>
          <w:bCs w:val="0"/>
          <w:sz w:val="32"/>
          <w:szCs w:val="32"/>
          <w:lang w:val="en-US" w:eastAsia="zh-CN"/>
        </w:rPr>
        <w:t>14.</w:t>
      </w:r>
      <w:r>
        <w:rPr>
          <w:rFonts w:hint="eastAsia" w:ascii="仿宋_GB2312" w:hAnsi="仿宋" w:eastAsia="仿宋_GB2312" w:cs="仿宋"/>
          <w:b/>
          <w:bCs w:val="0"/>
          <w:sz w:val="32"/>
          <w:szCs w:val="32"/>
        </w:rPr>
        <w:t>四类特定领域医保基金监管方式研究</w:t>
      </w:r>
      <w:r>
        <w:rPr>
          <w:rFonts w:hint="eastAsia" w:ascii="仿宋_GB2312" w:hAnsi="仿宋" w:eastAsia="仿宋_GB2312" w:cs="仿宋"/>
          <w:b/>
          <w:bCs w:val="0"/>
          <w:sz w:val="32"/>
          <w:szCs w:val="32"/>
        </w:rPr>
        <w:tab/>
      </w:r>
    </w:p>
    <w:p>
      <w:pPr>
        <w:adjustRightInd w:val="0"/>
        <w:snapToGrid w:val="0"/>
        <w:spacing w:line="588" w:lineRule="exact"/>
        <w:ind w:firstLine="607" w:firstLineChars="195"/>
        <w:rPr>
          <w:rFonts w:hint="eastAsia" w:ascii="仿宋_GB2312" w:hAnsi="仿宋" w:eastAsia="仿宋_GB2312" w:cs="仿宋"/>
          <w:bCs/>
          <w:spacing w:val="0"/>
          <w:sz w:val="32"/>
          <w:szCs w:val="32"/>
        </w:rPr>
      </w:pPr>
      <w:r>
        <w:rPr>
          <w:rFonts w:hint="eastAsia" w:ascii="仿宋_GB2312" w:hAnsi="仿宋" w:eastAsia="仿宋_GB2312" w:cs="仿宋"/>
          <w:bCs/>
          <w:sz w:val="32"/>
          <w:szCs w:val="32"/>
        </w:rPr>
        <w:t>影像、眼科、肿瘤、精神病等领域骗保手段较为隐蔽，不利于执法取证和违法违规问题认定，针对以上四类特定领域开展研究，探索规范化执法流程和统一的检查标准，提升监管精准度。</w:t>
      </w:r>
    </w:p>
    <w:sectPr>
      <w:footerReference r:id="rId3" w:type="default"/>
      <w:footerReference r:id="rId4" w:type="even"/>
      <w:pgSz w:w="11906" w:h="16838"/>
      <w:pgMar w:top="2098" w:right="1474" w:bottom="1985" w:left="1588" w:header="851" w:footer="1588" w:gutter="0"/>
      <w:pgNumType w:fmt="decimal"/>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0" w:firstLineChars="0"/>
                            <w:rPr>
                              <w:rStyle w:val="18"/>
                              <w:sz w:val="28"/>
                            </w:rPr>
                          </w:pPr>
                          <w:r>
                            <w:rPr>
                              <w:rStyle w:val="18"/>
                              <w:rFonts w:ascii="仿宋_GB2312"/>
                              <w:sz w:val="28"/>
                            </w:rPr>
                            <w:fldChar w:fldCharType="begin"/>
                          </w:r>
                          <w:r>
                            <w:rPr>
                              <w:rStyle w:val="18"/>
                              <w:rFonts w:ascii="仿宋_GB2312"/>
                              <w:sz w:val="28"/>
                            </w:rPr>
                            <w:instrText xml:space="preserve">PAGE  </w:instrText>
                          </w:r>
                          <w:r>
                            <w:rPr>
                              <w:rStyle w:val="18"/>
                              <w:rFonts w:ascii="仿宋_GB2312"/>
                              <w:sz w:val="28"/>
                            </w:rPr>
                            <w:fldChar w:fldCharType="separate"/>
                          </w:r>
                          <w:r>
                            <w:rPr>
                              <w:rStyle w:val="18"/>
                              <w:rFonts w:ascii="仿宋_GB2312"/>
                              <w:sz w:val="28"/>
                            </w:rPr>
                            <w:t>1</w:t>
                          </w:r>
                          <w:r>
                            <w:rPr>
                              <w:rStyle w:val="18"/>
                              <w:rFonts w:ascii="仿宋_GB2312"/>
                              <w:sz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ind w:firstLine="0" w:firstLineChars="0"/>
                      <w:rPr>
                        <w:rStyle w:val="18"/>
                        <w:sz w:val="28"/>
                      </w:rPr>
                    </w:pPr>
                    <w:r>
                      <w:rPr>
                        <w:rStyle w:val="18"/>
                        <w:rFonts w:ascii="仿宋_GB2312"/>
                        <w:sz w:val="28"/>
                      </w:rPr>
                      <w:fldChar w:fldCharType="begin"/>
                    </w:r>
                    <w:r>
                      <w:rPr>
                        <w:rStyle w:val="18"/>
                        <w:rFonts w:ascii="仿宋_GB2312"/>
                        <w:sz w:val="28"/>
                      </w:rPr>
                      <w:instrText xml:space="preserve">PAGE  </w:instrText>
                    </w:r>
                    <w:r>
                      <w:rPr>
                        <w:rStyle w:val="18"/>
                        <w:rFonts w:ascii="仿宋_GB2312"/>
                        <w:sz w:val="28"/>
                      </w:rPr>
                      <w:fldChar w:fldCharType="separate"/>
                    </w:r>
                    <w:r>
                      <w:rPr>
                        <w:rStyle w:val="18"/>
                        <w:rFonts w:ascii="仿宋_GB2312"/>
                        <w:sz w:val="28"/>
                      </w:rPr>
                      <w:t>1</w:t>
                    </w:r>
                    <w:r>
                      <w:rPr>
                        <w:rStyle w:val="18"/>
                        <w:rFonts w:ascii="仿宋_GB2312"/>
                        <w:sz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end"/>
    </w:r>
  </w:p>
  <w:p>
    <w:pPr>
      <w:pStyle w:val="11"/>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0"/>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9C8"/>
    <w:rsid w:val="00033051"/>
    <w:rsid w:val="00033366"/>
    <w:rsid w:val="00034E94"/>
    <w:rsid w:val="00037A3E"/>
    <w:rsid w:val="000504AF"/>
    <w:rsid w:val="00052E5B"/>
    <w:rsid w:val="000541EB"/>
    <w:rsid w:val="00055D21"/>
    <w:rsid w:val="00062213"/>
    <w:rsid w:val="00064553"/>
    <w:rsid w:val="00072CC1"/>
    <w:rsid w:val="000752D7"/>
    <w:rsid w:val="000822DB"/>
    <w:rsid w:val="00086815"/>
    <w:rsid w:val="00086A28"/>
    <w:rsid w:val="000960A7"/>
    <w:rsid w:val="00096B16"/>
    <w:rsid w:val="000A5ADE"/>
    <w:rsid w:val="000B22F4"/>
    <w:rsid w:val="000B7B75"/>
    <w:rsid w:val="000C3B1B"/>
    <w:rsid w:val="000C425C"/>
    <w:rsid w:val="000C6E29"/>
    <w:rsid w:val="000F47D1"/>
    <w:rsid w:val="000F6B40"/>
    <w:rsid w:val="0010476B"/>
    <w:rsid w:val="00111328"/>
    <w:rsid w:val="00115267"/>
    <w:rsid w:val="00125DA5"/>
    <w:rsid w:val="00157826"/>
    <w:rsid w:val="00172A27"/>
    <w:rsid w:val="00173875"/>
    <w:rsid w:val="00185F5D"/>
    <w:rsid w:val="00194655"/>
    <w:rsid w:val="001B2242"/>
    <w:rsid w:val="001C09A8"/>
    <w:rsid w:val="001C1355"/>
    <w:rsid w:val="001C74E0"/>
    <w:rsid w:val="001C7DC1"/>
    <w:rsid w:val="001D6F42"/>
    <w:rsid w:val="001D712B"/>
    <w:rsid w:val="001E1E8A"/>
    <w:rsid w:val="001E3D79"/>
    <w:rsid w:val="00201BC5"/>
    <w:rsid w:val="00204934"/>
    <w:rsid w:val="00212A5A"/>
    <w:rsid w:val="0022069E"/>
    <w:rsid w:val="00226A89"/>
    <w:rsid w:val="0026114A"/>
    <w:rsid w:val="002646AA"/>
    <w:rsid w:val="00274546"/>
    <w:rsid w:val="002767A8"/>
    <w:rsid w:val="00276D38"/>
    <w:rsid w:val="0027732B"/>
    <w:rsid w:val="0029367C"/>
    <w:rsid w:val="00294A70"/>
    <w:rsid w:val="002A65C1"/>
    <w:rsid w:val="002C2FF7"/>
    <w:rsid w:val="002C3F59"/>
    <w:rsid w:val="002D675A"/>
    <w:rsid w:val="002E22C8"/>
    <w:rsid w:val="002F5597"/>
    <w:rsid w:val="003042BE"/>
    <w:rsid w:val="00306032"/>
    <w:rsid w:val="00307362"/>
    <w:rsid w:val="00310BAC"/>
    <w:rsid w:val="00312C9C"/>
    <w:rsid w:val="00331422"/>
    <w:rsid w:val="00377C47"/>
    <w:rsid w:val="00390139"/>
    <w:rsid w:val="0039304D"/>
    <w:rsid w:val="00394D76"/>
    <w:rsid w:val="003953B9"/>
    <w:rsid w:val="003A19C4"/>
    <w:rsid w:val="003B0359"/>
    <w:rsid w:val="003D3F13"/>
    <w:rsid w:val="003E459B"/>
    <w:rsid w:val="00430785"/>
    <w:rsid w:val="00433FA3"/>
    <w:rsid w:val="00445A0A"/>
    <w:rsid w:val="00452F01"/>
    <w:rsid w:val="004559DD"/>
    <w:rsid w:val="004614B7"/>
    <w:rsid w:val="004708F2"/>
    <w:rsid w:val="00475FCA"/>
    <w:rsid w:val="004924DE"/>
    <w:rsid w:val="004D0189"/>
    <w:rsid w:val="004D3465"/>
    <w:rsid w:val="004E53DB"/>
    <w:rsid w:val="00501082"/>
    <w:rsid w:val="0050214F"/>
    <w:rsid w:val="00506119"/>
    <w:rsid w:val="00531B3E"/>
    <w:rsid w:val="00536E42"/>
    <w:rsid w:val="00540A5D"/>
    <w:rsid w:val="00544267"/>
    <w:rsid w:val="00553055"/>
    <w:rsid w:val="00553328"/>
    <w:rsid w:val="00555EE0"/>
    <w:rsid w:val="00561E05"/>
    <w:rsid w:val="00577FAE"/>
    <w:rsid w:val="005A1641"/>
    <w:rsid w:val="005A22CB"/>
    <w:rsid w:val="005A2C1B"/>
    <w:rsid w:val="005B71A2"/>
    <w:rsid w:val="005B740D"/>
    <w:rsid w:val="005D4C11"/>
    <w:rsid w:val="005F0A37"/>
    <w:rsid w:val="005F7C16"/>
    <w:rsid w:val="0060102D"/>
    <w:rsid w:val="00602EFE"/>
    <w:rsid w:val="006100E2"/>
    <w:rsid w:val="00630F99"/>
    <w:rsid w:val="0063119B"/>
    <w:rsid w:val="00631B00"/>
    <w:rsid w:val="00642509"/>
    <w:rsid w:val="00644295"/>
    <w:rsid w:val="00653F23"/>
    <w:rsid w:val="00665434"/>
    <w:rsid w:val="00665C38"/>
    <w:rsid w:val="00682222"/>
    <w:rsid w:val="006A001C"/>
    <w:rsid w:val="006A365E"/>
    <w:rsid w:val="006B17BA"/>
    <w:rsid w:val="006B4720"/>
    <w:rsid w:val="006C2BDE"/>
    <w:rsid w:val="006D5A89"/>
    <w:rsid w:val="006E01FE"/>
    <w:rsid w:val="006E2518"/>
    <w:rsid w:val="006E51AD"/>
    <w:rsid w:val="006F010B"/>
    <w:rsid w:val="0074071A"/>
    <w:rsid w:val="0075572A"/>
    <w:rsid w:val="007671DB"/>
    <w:rsid w:val="0077070B"/>
    <w:rsid w:val="007727C7"/>
    <w:rsid w:val="007739DD"/>
    <w:rsid w:val="0077792F"/>
    <w:rsid w:val="00782CF7"/>
    <w:rsid w:val="007862E2"/>
    <w:rsid w:val="007903D4"/>
    <w:rsid w:val="00794E9F"/>
    <w:rsid w:val="007B412F"/>
    <w:rsid w:val="007C2DE4"/>
    <w:rsid w:val="007C509B"/>
    <w:rsid w:val="007C60FD"/>
    <w:rsid w:val="007C7D3D"/>
    <w:rsid w:val="007E22E1"/>
    <w:rsid w:val="00804700"/>
    <w:rsid w:val="0082515F"/>
    <w:rsid w:val="00826F13"/>
    <w:rsid w:val="00830349"/>
    <w:rsid w:val="00831116"/>
    <w:rsid w:val="00834EF3"/>
    <w:rsid w:val="00843B2C"/>
    <w:rsid w:val="00847EC0"/>
    <w:rsid w:val="00863FE1"/>
    <w:rsid w:val="00866877"/>
    <w:rsid w:val="00874E1E"/>
    <w:rsid w:val="0087577D"/>
    <w:rsid w:val="0088400C"/>
    <w:rsid w:val="00885A39"/>
    <w:rsid w:val="00885FBA"/>
    <w:rsid w:val="00886594"/>
    <w:rsid w:val="00892142"/>
    <w:rsid w:val="0089512B"/>
    <w:rsid w:val="0089569A"/>
    <w:rsid w:val="008973A0"/>
    <w:rsid w:val="008A697D"/>
    <w:rsid w:val="008C424E"/>
    <w:rsid w:val="008C75FC"/>
    <w:rsid w:val="008D006C"/>
    <w:rsid w:val="008D29C6"/>
    <w:rsid w:val="008D2E2D"/>
    <w:rsid w:val="008D4206"/>
    <w:rsid w:val="008F5E27"/>
    <w:rsid w:val="00947C11"/>
    <w:rsid w:val="009601BF"/>
    <w:rsid w:val="00984420"/>
    <w:rsid w:val="009977B2"/>
    <w:rsid w:val="009A0593"/>
    <w:rsid w:val="009A0F0C"/>
    <w:rsid w:val="009B0183"/>
    <w:rsid w:val="009E3F64"/>
    <w:rsid w:val="009E6089"/>
    <w:rsid w:val="009F0FE0"/>
    <w:rsid w:val="009F1AFA"/>
    <w:rsid w:val="00A35330"/>
    <w:rsid w:val="00A61CF7"/>
    <w:rsid w:val="00A64306"/>
    <w:rsid w:val="00A72B80"/>
    <w:rsid w:val="00A853FB"/>
    <w:rsid w:val="00A87089"/>
    <w:rsid w:val="00A872AD"/>
    <w:rsid w:val="00A93D6F"/>
    <w:rsid w:val="00A961FC"/>
    <w:rsid w:val="00AE71AD"/>
    <w:rsid w:val="00AF48F8"/>
    <w:rsid w:val="00B27163"/>
    <w:rsid w:val="00B3454A"/>
    <w:rsid w:val="00B3569D"/>
    <w:rsid w:val="00B37314"/>
    <w:rsid w:val="00B42218"/>
    <w:rsid w:val="00B651F5"/>
    <w:rsid w:val="00B71D9C"/>
    <w:rsid w:val="00B75B6B"/>
    <w:rsid w:val="00B760B9"/>
    <w:rsid w:val="00B844C2"/>
    <w:rsid w:val="00BA0A6C"/>
    <w:rsid w:val="00BB1A3F"/>
    <w:rsid w:val="00BB3E15"/>
    <w:rsid w:val="00BC472E"/>
    <w:rsid w:val="00BC74B1"/>
    <w:rsid w:val="00BC792C"/>
    <w:rsid w:val="00BD4D52"/>
    <w:rsid w:val="00BE56D6"/>
    <w:rsid w:val="00BF792B"/>
    <w:rsid w:val="00C121EB"/>
    <w:rsid w:val="00C159E5"/>
    <w:rsid w:val="00C16349"/>
    <w:rsid w:val="00C173C9"/>
    <w:rsid w:val="00C21294"/>
    <w:rsid w:val="00C30B2B"/>
    <w:rsid w:val="00C328AA"/>
    <w:rsid w:val="00C65CE8"/>
    <w:rsid w:val="00C6759A"/>
    <w:rsid w:val="00C76DA9"/>
    <w:rsid w:val="00C86C03"/>
    <w:rsid w:val="00C90989"/>
    <w:rsid w:val="00C91A22"/>
    <w:rsid w:val="00CB0EB7"/>
    <w:rsid w:val="00CB6284"/>
    <w:rsid w:val="00CB67FA"/>
    <w:rsid w:val="00CC3DB1"/>
    <w:rsid w:val="00CC7C1D"/>
    <w:rsid w:val="00CE6390"/>
    <w:rsid w:val="00CF43D4"/>
    <w:rsid w:val="00CF6FC9"/>
    <w:rsid w:val="00D16C8D"/>
    <w:rsid w:val="00D21093"/>
    <w:rsid w:val="00D22939"/>
    <w:rsid w:val="00D255C8"/>
    <w:rsid w:val="00D359C9"/>
    <w:rsid w:val="00D450E7"/>
    <w:rsid w:val="00D521F3"/>
    <w:rsid w:val="00D6171F"/>
    <w:rsid w:val="00D93E8E"/>
    <w:rsid w:val="00DA2A38"/>
    <w:rsid w:val="00DA4110"/>
    <w:rsid w:val="00DA7A4B"/>
    <w:rsid w:val="00DB2D9C"/>
    <w:rsid w:val="00DC1225"/>
    <w:rsid w:val="00DC4B62"/>
    <w:rsid w:val="00DD23E2"/>
    <w:rsid w:val="00E0589B"/>
    <w:rsid w:val="00E117B9"/>
    <w:rsid w:val="00E13389"/>
    <w:rsid w:val="00E17CF1"/>
    <w:rsid w:val="00E26438"/>
    <w:rsid w:val="00E447E4"/>
    <w:rsid w:val="00E63371"/>
    <w:rsid w:val="00E63DC5"/>
    <w:rsid w:val="00E72447"/>
    <w:rsid w:val="00E91B39"/>
    <w:rsid w:val="00E94B6B"/>
    <w:rsid w:val="00E97747"/>
    <w:rsid w:val="00E97F93"/>
    <w:rsid w:val="00EB31E2"/>
    <w:rsid w:val="00EB3AD7"/>
    <w:rsid w:val="00EC1789"/>
    <w:rsid w:val="00ED57B3"/>
    <w:rsid w:val="00EE2D8F"/>
    <w:rsid w:val="00EE5011"/>
    <w:rsid w:val="00F02D62"/>
    <w:rsid w:val="00F03804"/>
    <w:rsid w:val="00F07CB8"/>
    <w:rsid w:val="00F13856"/>
    <w:rsid w:val="00F1479B"/>
    <w:rsid w:val="00F25F43"/>
    <w:rsid w:val="00F37A37"/>
    <w:rsid w:val="00F57551"/>
    <w:rsid w:val="00F6291F"/>
    <w:rsid w:val="00FA4F3D"/>
    <w:rsid w:val="00FA7CC3"/>
    <w:rsid w:val="00FB0623"/>
    <w:rsid w:val="00FB1F34"/>
    <w:rsid w:val="00FB26B2"/>
    <w:rsid w:val="00FD365D"/>
    <w:rsid w:val="00FD3E1B"/>
    <w:rsid w:val="00FD6B51"/>
    <w:rsid w:val="00FE1E9C"/>
    <w:rsid w:val="023852A6"/>
    <w:rsid w:val="03ED00C3"/>
    <w:rsid w:val="06CC238C"/>
    <w:rsid w:val="07280088"/>
    <w:rsid w:val="08F20378"/>
    <w:rsid w:val="0CC07576"/>
    <w:rsid w:val="0F863D5D"/>
    <w:rsid w:val="0FD261FB"/>
    <w:rsid w:val="1130203D"/>
    <w:rsid w:val="11B1729D"/>
    <w:rsid w:val="1247788B"/>
    <w:rsid w:val="13697835"/>
    <w:rsid w:val="15D0491F"/>
    <w:rsid w:val="16F85534"/>
    <w:rsid w:val="175947C2"/>
    <w:rsid w:val="18290BCC"/>
    <w:rsid w:val="1BC653F8"/>
    <w:rsid w:val="20C8387F"/>
    <w:rsid w:val="26754D69"/>
    <w:rsid w:val="28E03C27"/>
    <w:rsid w:val="2AAC51AE"/>
    <w:rsid w:val="2DC24BFF"/>
    <w:rsid w:val="2FB30D8E"/>
    <w:rsid w:val="307A6038"/>
    <w:rsid w:val="32D549CF"/>
    <w:rsid w:val="343B1711"/>
    <w:rsid w:val="37825466"/>
    <w:rsid w:val="382B433D"/>
    <w:rsid w:val="3B02193B"/>
    <w:rsid w:val="3BF30539"/>
    <w:rsid w:val="3EC97CE5"/>
    <w:rsid w:val="3F7F4906"/>
    <w:rsid w:val="41DA2097"/>
    <w:rsid w:val="436767F5"/>
    <w:rsid w:val="48B048C7"/>
    <w:rsid w:val="53543DA5"/>
    <w:rsid w:val="57E7CA96"/>
    <w:rsid w:val="58F63AB4"/>
    <w:rsid w:val="5B8A3673"/>
    <w:rsid w:val="5D237F64"/>
    <w:rsid w:val="61BA27D8"/>
    <w:rsid w:val="62A454E0"/>
    <w:rsid w:val="631409F3"/>
    <w:rsid w:val="63ED2BD0"/>
    <w:rsid w:val="66E403C4"/>
    <w:rsid w:val="69B710E6"/>
    <w:rsid w:val="6CB31A2B"/>
    <w:rsid w:val="6DEF2800"/>
    <w:rsid w:val="6ECB1DAC"/>
    <w:rsid w:val="70823ED5"/>
    <w:rsid w:val="70B05A3C"/>
    <w:rsid w:val="71E45777"/>
    <w:rsid w:val="732D3868"/>
    <w:rsid w:val="7431346F"/>
    <w:rsid w:val="790955FB"/>
    <w:rsid w:val="7980012F"/>
    <w:rsid w:val="7F035807"/>
    <w:rsid w:val="7F5FD6BD"/>
    <w:rsid w:val="7FAD42CC"/>
    <w:rsid w:val="7FD42BA2"/>
    <w:rsid w:val="EF9FF5A8"/>
    <w:rsid w:val="FEDDB1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120" w:line="360" w:lineRule="exact"/>
      <w:ind w:left="57" w:right="57"/>
      <w:jc w:val="center"/>
      <w:outlineLvl w:val="0"/>
    </w:pPr>
    <w:rPr>
      <w:rFonts w:eastAsia="黑体"/>
      <w:b/>
      <w:color w:val="FF0000"/>
      <w:kern w:val="44"/>
      <w:sz w:val="30"/>
      <w:szCs w:val="20"/>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sz w:val="24"/>
      <w:szCs w:val="20"/>
    </w:rPr>
  </w:style>
  <w:style w:type="paragraph" w:styleId="4">
    <w:name w:val="annotation text"/>
    <w:basedOn w:val="1"/>
    <w:link w:val="21"/>
    <w:semiHidden/>
    <w:qFormat/>
    <w:uiPriority w:val="99"/>
    <w:pPr>
      <w:jc w:val="left"/>
    </w:pPr>
  </w:style>
  <w:style w:type="paragraph" w:styleId="5">
    <w:name w:val="Body Text"/>
    <w:basedOn w:val="1"/>
    <w:link w:val="23"/>
    <w:qFormat/>
    <w:uiPriority w:val="99"/>
    <w:pPr>
      <w:spacing w:line="440" w:lineRule="exact"/>
    </w:pPr>
    <w:rPr>
      <w:rFonts w:eastAsia="仿宋_GB2312"/>
      <w:b/>
      <w:sz w:val="28"/>
      <w:szCs w:val="20"/>
    </w:rPr>
  </w:style>
  <w:style w:type="paragraph" w:styleId="6">
    <w:name w:val="Body Text Indent"/>
    <w:basedOn w:val="1"/>
    <w:link w:val="24"/>
    <w:qFormat/>
    <w:uiPriority w:val="99"/>
    <w:pPr>
      <w:spacing w:line="480" w:lineRule="exact"/>
      <w:ind w:firstLine="560" w:firstLineChars="200"/>
    </w:pPr>
    <w:rPr>
      <w:rFonts w:ascii="仿宋_GB2312" w:hAnsi="宋体" w:eastAsia="仿宋_GB2312"/>
      <w:sz w:val="28"/>
      <w:szCs w:val="28"/>
    </w:rPr>
  </w:style>
  <w:style w:type="paragraph" w:styleId="7">
    <w:name w:val="Plain Text"/>
    <w:basedOn w:val="1"/>
    <w:link w:val="25"/>
    <w:qFormat/>
    <w:uiPriority w:val="99"/>
    <w:rPr>
      <w:rFonts w:ascii="宋体" w:hAnsi="Courier New" w:cs="Courier New"/>
      <w:szCs w:val="21"/>
    </w:rPr>
  </w:style>
  <w:style w:type="paragraph" w:styleId="8">
    <w:name w:val="Date"/>
    <w:basedOn w:val="1"/>
    <w:next w:val="1"/>
    <w:link w:val="26"/>
    <w:qFormat/>
    <w:uiPriority w:val="99"/>
    <w:pPr>
      <w:ind w:left="100" w:leftChars="2500"/>
    </w:pPr>
    <w:rPr>
      <w:rFonts w:ascii="仿宋_GB2312" w:eastAsia="仿宋_GB2312"/>
      <w:sz w:val="32"/>
      <w:szCs w:val="20"/>
    </w:rPr>
  </w:style>
  <w:style w:type="paragraph" w:styleId="9">
    <w:name w:val="Body Text Indent 2"/>
    <w:basedOn w:val="1"/>
    <w:link w:val="27"/>
    <w:qFormat/>
    <w:uiPriority w:val="99"/>
    <w:pPr>
      <w:spacing w:after="120" w:line="480" w:lineRule="auto"/>
      <w:ind w:left="420" w:leftChars="200"/>
    </w:pPr>
  </w:style>
  <w:style w:type="paragraph" w:styleId="10">
    <w:name w:val="Balloon Text"/>
    <w:basedOn w:val="1"/>
    <w:link w:val="28"/>
    <w:semiHidden/>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sz w:val="18"/>
      <w:szCs w:val="18"/>
    </w:rPr>
  </w:style>
  <w:style w:type="paragraph" w:styleId="12">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1"/>
    <w:qFormat/>
    <w:uiPriority w:val="99"/>
    <w:pPr>
      <w:spacing w:after="120"/>
      <w:ind w:left="420" w:leftChars="200"/>
    </w:pPr>
    <w:rPr>
      <w:sz w:val="16"/>
      <w:szCs w:val="16"/>
    </w:rPr>
  </w:style>
  <w:style w:type="paragraph" w:styleId="14">
    <w:name w:val="Normal (Web)"/>
    <w:basedOn w:val="1"/>
    <w:qFormat/>
    <w:uiPriority w:val="0"/>
    <w:rPr>
      <w:rFonts w:ascii="Calibri" w:hAnsi="Calibri"/>
      <w:sz w:val="24"/>
    </w:rPr>
  </w:style>
  <w:style w:type="paragraph" w:styleId="15">
    <w:name w:val="annotation subject"/>
    <w:basedOn w:val="4"/>
    <w:next w:val="4"/>
    <w:link w:val="22"/>
    <w:semiHidden/>
    <w:qFormat/>
    <w:uiPriority w:val="99"/>
    <w:rPr>
      <w:b/>
      <w:bCs/>
    </w:rPr>
  </w:style>
  <w:style w:type="character" w:styleId="18">
    <w:name w:val="page number"/>
    <w:basedOn w:val="17"/>
    <w:qFormat/>
    <w:uiPriority w:val="99"/>
    <w:rPr>
      <w:rFonts w:cs="Times New Roman"/>
    </w:rPr>
  </w:style>
  <w:style w:type="character" w:styleId="19">
    <w:name w:val="annotation reference"/>
    <w:basedOn w:val="17"/>
    <w:semiHidden/>
    <w:qFormat/>
    <w:uiPriority w:val="99"/>
    <w:rPr>
      <w:rFonts w:cs="Times New Roman"/>
      <w:sz w:val="21"/>
      <w:szCs w:val="21"/>
    </w:rPr>
  </w:style>
  <w:style w:type="character" w:customStyle="1" w:styleId="20">
    <w:name w:val="标题 1 Char"/>
    <w:basedOn w:val="17"/>
    <w:link w:val="2"/>
    <w:qFormat/>
    <w:uiPriority w:val="9"/>
    <w:rPr>
      <w:b/>
      <w:bCs/>
      <w:kern w:val="44"/>
      <w:sz w:val="44"/>
      <w:szCs w:val="44"/>
    </w:rPr>
  </w:style>
  <w:style w:type="character" w:customStyle="1" w:styleId="21">
    <w:name w:val="批注文字 Char"/>
    <w:basedOn w:val="17"/>
    <w:link w:val="4"/>
    <w:semiHidden/>
    <w:qFormat/>
    <w:uiPriority w:val="99"/>
    <w:rPr>
      <w:szCs w:val="24"/>
    </w:rPr>
  </w:style>
  <w:style w:type="character" w:customStyle="1" w:styleId="22">
    <w:name w:val="批注主题 Char"/>
    <w:basedOn w:val="21"/>
    <w:link w:val="15"/>
    <w:semiHidden/>
    <w:qFormat/>
    <w:uiPriority w:val="99"/>
    <w:rPr>
      <w:b/>
      <w:bCs/>
      <w:szCs w:val="24"/>
    </w:rPr>
  </w:style>
  <w:style w:type="character" w:customStyle="1" w:styleId="23">
    <w:name w:val="正文文本 Char"/>
    <w:basedOn w:val="17"/>
    <w:link w:val="5"/>
    <w:semiHidden/>
    <w:qFormat/>
    <w:uiPriority w:val="99"/>
    <w:rPr>
      <w:szCs w:val="24"/>
    </w:rPr>
  </w:style>
  <w:style w:type="character" w:customStyle="1" w:styleId="24">
    <w:name w:val="正文文本缩进 Char"/>
    <w:basedOn w:val="17"/>
    <w:link w:val="6"/>
    <w:semiHidden/>
    <w:qFormat/>
    <w:uiPriority w:val="99"/>
    <w:rPr>
      <w:szCs w:val="24"/>
    </w:rPr>
  </w:style>
  <w:style w:type="character" w:customStyle="1" w:styleId="25">
    <w:name w:val="纯文本 Char"/>
    <w:basedOn w:val="17"/>
    <w:link w:val="7"/>
    <w:qFormat/>
    <w:locked/>
    <w:uiPriority w:val="99"/>
    <w:rPr>
      <w:rFonts w:ascii="宋体" w:hAnsi="Courier New" w:cs="Courier New"/>
      <w:kern w:val="2"/>
      <w:sz w:val="21"/>
      <w:szCs w:val="21"/>
    </w:rPr>
  </w:style>
  <w:style w:type="character" w:customStyle="1" w:styleId="26">
    <w:name w:val="日期 Char"/>
    <w:basedOn w:val="17"/>
    <w:link w:val="8"/>
    <w:semiHidden/>
    <w:qFormat/>
    <w:uiPriority w:val="99"/>
    <w:rPr>
      <w:szCs w:val="24"/>
    </w:rPr>
  </w:style>
  <w:style w:type="character" w:customStyle="1" w:styleId="27">
    <w:name w:val="正文文本缩进 2 Char"/>
    <w:basedOn w:val="17"/>
    <w:link w:val="9"/>
    <w:semiHidden/>
    <w:qFormat/>
    <w:uiPriority w:val="99"/>
    <w:rPr>
      <w:szCs w:val="24"/>
    </w:rPr>
  </w:style>
  <w:style w:type="character" w:customStyle="1" w:styleId="28">
    <w:name w:val="批注框文本 Char"/>
    <w:basedOn w:val="17"/>
    <w:link w:val="10"/>
    <w:semiHidden/>
    <w:qFormat/>
    <w:uiPriority w:val="99"/>
    <w:rPr>
      <w:sz w:val="0"/>
      <w:szCs w:val="0"/>
    </w:rPr>
  </w:style>
  <w:style w:type="character" w:customStyle="1" w:styleId="29">
    <w:name w:val="页脚 Char"/>
    <w:basedOn w:val="17"/>
    <w:link w:val="11"/>
    <w:semiHidden/>
    <w:qFormat/>
    <w:uiPriority w:val="99"/>
    <w:rPr>
      <w:sz w:val="18"/>
      <w:szCs w:val="18"/>
    </w:rPr>
  </w:style>
  <w:style w:type="character" w:customStyle="1" w:styleId="30">
    <w:name w:val="页眉 Char"/>
    <w:basedOn w:val="17"/>
    <w:link w:val="12"/>
    <w:semiHidden/>
    <w:qFormat/>
    <w:uiPriority w:val="99"/>
    <w:rPr>
      <w:sz w:val="18"/>
      <w:szCs w:val="18"/>
    </w:rPr>
  </w:style>
  <w:style w:type="character" w:customStyle="1" w:styleId="31">
    <w:name w:val="正文文本缩进 3 Char"/>
    <w:basedOn w:val="17"/>
    <w:link w:val="13"/>
    <w:semiHidden/>
    <w:qFormat/>
    <w:uiPriority w:val="99"/>
    <w:rPr>
      <w:sz w:val="16"/>
      <w:szCs w:val="16"/>
    </w:rPr>
  </w:style>
  <w:style w:type="paragraph" w:customStyle="1" w:styleId="32">
    <w:name w:val="Char Char Char Char Char Char Char"/>
    <w:basedOn w:val="1"/>
    <w:qFormat/>
    <w:uiPriority w:val="99"/>
    <w:pPr>
      <w:tabs>
        <w:tab w:val="left" w:pos="720"/>
      </w:tabs>
      <w:ind w:left="720" w:hanging="720"/>
    </w:pPr>
    <w:rPr>
      <w:sz w:val="24"/>
    </w:rPr>
  </w:style>
  <w:style w:type="paragraph" w:customStyle="1" w:styleId="33">
    <w:name w:val="Char"/>
    <w:basedOn w:val="1"/>
    <w:qFormat/>
    <w:uiPriority w:val="99"/>
    <w:rPr>
      <w:szCs w:val="20"/>
    </w:rPr>
  </w:style>
  <w:style w:type="paragraph" w:customStyle="1" w:styleId="34">
    <w:name w:val="List Paragraph1"/>
    <w:basedOn w:val="1"/>
    <w:qFormat/>
    <w:uiPriority w:val="99"/>
    <w:pPr>
      <w:ind w:firstLine="420" w:firstLineChars="200"/>
    </w:pPr>
  </w:style>
  <w:style w:type="paragraph" w:customStyle="1" w:styleId="35">
    <w:name w:val="果正文"/>
    <w:basedOn w:val="1"/>
    <w:qFormat/>
    <w:uiPriority w:val="99"/>
    <w:pPr>
      <w:tabs>
        <w:tab w:val="left" w:pos="1800"/>
      </w:tabs>
      <w:ind w:firstLine="544" w:firstLineChars="200"/>
    </w:pPr>
    <w:rPr>
      <w:rFonts w:ascii="仿宋_GB2312" w:eastAsia="仿宋_GB2312"/>
      <w:spacing w:val="-4"/>
      <w:sz w:val="28"/>
      <w:szCs w:val="20"/>
    </w:rPr>
  </w:style>
  <w:style w:type="paragraph" w:customStyle="1" w:styleId="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wenyin</Company>
  <Pages>1</Pages>
  <Words>236</Words>
  <Characters>1351</Characters>
  <Lines>11</Lines>
  <Paragraphs>3</Paragraphs>
  <TotalTime>6</TotalTime>
  <ScaleCrop>false</ScaleCrop>
  <LinksUpToDate>false</LinksUpToDate>
  <CharactersWithSpaces>1584</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2020-11-02T19:33:00Z</dcterms:created>
  <dc:creator>qiuyue</dc:creator>
  <cp:lastModifiedBy>panwe</cp:lastModifiedBy>
  <cp:lastPrinted>2021-07-08T16:53:00Z</cp:lastPrinted>
  <dcterms:modified xsi:type="dcterms:W3CDTF">2022-05-17T07:10:57Z</dcterms:modified>
  <dc:title>首医大校教字[2003]2号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387AED96AC3542C692AE19F9C48359DC</vt:lpwstr>
  </property>
</Properties>
</file>