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adjustRightInd w:val="0"/>
        <w:snapToGrid w:val="0"/>
        <w:rPr>
          <w:rFonts w:ascii="黑体" w:hAnsi="黑体" w:eastAsia="黑体" w:cs="方正小标宋简体"/>
          <w:sz w:val="32"/>
          <w:szCs w:val="44"/>
        </w:rPr>
      </w:pPr>
      <w:r>
        <w:rPr>
          <w:rFonts w:hint="eastAsia" w:ascii="黑体" w:hAnsi="黑体" w:eastAsia="黑体" w:cs="方正小标宋简体"/>
          <w:sz w:val="32"/>
          <w:szCs w:val="44"/>
        </w:rPr>
        <w:t>附件</w:t>
      </w:r>
      <w:r>
        <w:rPr>
          <w:rFonts w:ascii="黑体" w:hAnsi="黑体" w:eastAsia="黑体" w:cs="方正小标宋简体"/>
          <w:sz w:val="32"/>
          <w:szCs w:val="44"/>
        </w:rPr>
        <w:t>1</w:t>
      </w:r>
    </w:p>
    <w:p>
      <w:pPr>
        <w:pStyle w:val="7"/>
        <w:adjustRightInd w:val="0"/>
        <w:snapToGrid w:val="0"/>
        <w:jc w:val="center"/>
        <w:rPr>
          <w:rFonts w:ascii="方正小标宋简体" w:hAnsi="方正小标宋简体" w:eastAsia="方正小标宋简体" w:cs="方正小标宋简体"/>
          <w:sz w:val="44"/>
          <w:szCs w:val="44"/>
        </w:rPr>
      </w:pPr>
    </w:p>
    <w:p>
      <w:pPr>
        <w:pStyle w:val="7"/>
        <w:adjustRightInd w:val="0"/>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首都医科大学国家医疗保障研究院</w:t>
      </w:r>
    </w:p>
    <w:p>
      <w:pPr>
        <w:pStyle w:val="7"/>
        <w:adjustRightInd w:val="0"/>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开放性课题项目申报指南</w:t>
      </w:r>
    </w:p>
    <w:p>
      <w:pPr>
        <w:adjustRightInd w:val="0"/>
        <w:snapToGrid w:val="0"/>
        <w:spacing w:line="588" w:lineRule="exact"/>
        <w:ind w:firstLine="622" w:firstLineChars="200"/>
        <w:rPr>
          <w:rFonts w:ascii="仿宋_GB2312" w:hAnsi="黑体" w:eastAsia="仿宋_GB2312" w:cs="黑体"/>
          <w:sz w:val="32"/>
          <w:szCs w:val="32"/>
        </w:rPr>
      </w:pPr>
    </w:p>
    <w:p>
      <w:pPr>
        <w:adjustRightInd w:val="0"/>
        <w:snapToGrid w:val="0"/>
        <w:spacing w:line="588" w:lineRule="exact"/>
        <w:ind w:firstLine="622" w:firstLineChars="200"/>
        <w:rPr>
          <w:rFonts w:ascii="黑体" w:hAnsi="黑体" w:eastAsia="黑体" w:cs="黑体"/>
          <w:sz w:val="32"/>
          <w:szCs w:val="32"/>
        </w:rPr>
      </w:pPr>
      <w:r>
        <w:rPr>
          <w:rFonts w:hint="eastAsia" w:ascii="黑体" w:hAnsi="黑体" w:eastAsia="黑体" w:cs="黑体"/>
          <w:sz w:val="32"/>
          <w:szCs w:val="32"/>
        </w:rPr>
        <w:t>一、总体目标</w:t>
      </w:r>
    </w:p>
    <w:p>
      <w:pPr>
        <w:spacing w:line="588" w:lineRule="exact"/>
        <w:rPr>
          <w:rFonts w:ascii="仿宋_GB2312" w:hAnsi="仿宋" w:eastAsia="仿宋_GB2312" w:cs="仿宋"/>
          <w:sz w:val="32"/>
          <w:szCs w:val="32"/>
        </w:rPr>
      </w:pPr>
      <w:r>
        <w:rPr>
          <w:rFonts w:hint="eastAsia" w:ascii="仿宋_GB2312" w:hAnsi="仿宋" w:eastAsia="仿宋_GB2312" w:cs="仿宋"/>
          <w:sz w:val="32"/>
          <w:szCs w:val="32"/>
        </w:rPr>
        <w:t xml:space="preserve">    贯彻落实《中共中央</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国务院关于深化医疗保障制度改革的意见》，促进我国医疗保</w:t>
      </w:r>
      <w:r>
        <w:rPr>
          <w:rFonts w:hint="eastAsia" w:ascii="仿宋_GB2312" w:hAnsi="仿宋" w:eastAsia="仿宋_GB2312" w:cs="仿宋"/>
          <w:sz w:val="32"/>
          <w:szCs w:val="32"/>
          <w:lang w:val="en-US" w:eastAsia="zh-CN"/>
        </w:rPr>
        <w:t>障</w:t>
      </w:r>
      <w:r>
        <w:rPr>
          <w:rFonts w:hint="eastAsia" w:ascii="仿宋_GB2312" w:hAnsi="仿宋" w:eastAsia="仿宋_GB2312" w:cs="仿宋"/>
          <w:sz w:val="32"/>
          <w:szCs w:val="32"/>
        </w:rPr>
        <w:t>事业的协调、可持续、快速发展和卫生健康服务体系的日臻完善，保障人民群众的健康。根据《首都医科大学国家医疗保障研究院开放性课题项目管理办法（试行）》，推动我国医疗保</w:t>
      </w:r>
      <w:r>
        <w:rPr>
          <w:rFonts w:hint="eastAsia" w:ascii="仿宋_GB2312" w:hAnsi="仿宋" w:eastAsia="仿宋_GB2312" w:cs="仿宋"/>
          <w:sz w:val="32"/>
          <w:szCs w:val="32"/>
          <w:lang w:val="en-US" w:eastAsia="zh-CN"/>
        </w:rPr>
        <w:t>障</w:t>
      </w:r>
      <w:r>
        <w:rPr>
          <w:rFonts w:hint="eastAsia" w:ascii="仿宋_GB2312" w:hAnsi="仿宋" w:eastAsia="仿宋_GB2312" w:cs="仿宋"/>
          <w:sz w:val="32"/>
          <w:szCs w:val="32"/>
        </w:rPr>
        <w:t>领域的基础理论研究、应用研究，以及医疗保</w:t>
      </w:r>
      <w:r>
        <w:rPr>
          <w:rFonts w:hint="eastAsia" w:ascii="仿宋_GB2312" w:hAnsi="仿宋" w:eastAsia="仿宋_GB2312" w:cs="仿宋"/>
          <w:sz w:val="32"/>
          <w:szCs w:val="32"/>
          <w:lang w:val="en-US" w:eastAsia="zh-CN"/>
        </w:rPr>
        <w:t>障</w:t>
      </w:r>
      <w:r>
        <w:rPr>
          <w:rFonts w:hint="eastAsia" w:ascii="仿宋_GB2312" w:hAnsi="仿宋" w:eastAsia="仿宋_GB2312" w:cs="仿宋"/>
          <w:sz w:val="32"/>
          <w:szCs w:val="32"/>
        </w:rPr>
        <w:t>学科建设、专业建设、人才培养等工作，提升医疗保障系统工作能力和水平。</w:t>
      </w:r>
    </w:p>
    <w:p>
      <w:pPr>
        <w:adjustRightInd w:val="0"/>
        <w:snapToGrid w:val="0"/>
        <w:spacing w:line="588" w:lineRule="exact"/>
        <w:ind w:firstLine="622" w:firstLineChars="200"/>
        <w:rPr>
          <w:rFonts w:ascii="黑体" w:hAnsi="黑体" w:eastAsia="黑体" w:cs="黑体"/>
          <w:sz w:val="32"/>
          <w:szCs w:val="32"/>
        </w:rPr>
      </w:pPr>
      <w:r>
        <w:rPr>
          <w:rFonts w:hint="eastAsia" w:ascii="黑体" w:hAnsi="黑体" w:eastAsia="黑体" w:cs="黑体"/>
          <w:sz w:val="32"/>
          <w:szCs w:val="32"/>
        </w:rPr>
        <w:t>二、项目研究周期</w:t>
      </w:r>
    </w:p>
    <w:p>
      <w:pPr>
        <w:adjustRightInd w:val="0"/>
        <w:snapToGrid w:val="0"/>
        <w:spacing w:line="588" w:lineRule="exact"/>
        <w:ind w:firstLine="622" w:firstLineChars="200"/>
        <w:rPr>
          <w:rFonts w:ascii="仿宋_GB2312" w:hAnsi="仿宋" w:eastAsia="仿宋_GB2312" w:cs="仿宋"/>
          <w:sz w:val="32"/>
          <w:szCs w:val="32"/>
        </w:rPr>
      </w:pPr>
      <w:r>
        <w:rPr>
          <w:rFonts w:hint="eastAsia" w:ascii="仿宋_GB2312" w:hAnsi="仿宋" w:eastAsia="仿宋_GB2312" w:cs="仿宋"/>
          <w:sz w:val="32"/>
          <w:szCs w:val="32"/>
        </w:rPr>
        <w:t>2021年1月1日—2022年12月31日。</w:t>
      </w:r>
    </w:p>
    <w:p>
      <w:pPr>
        <w:adjustRightInd w:val="0"/>
        <w:snapToGrid w:val="0"/>
        <w:spacing w:line="588" w:lineRule="exact"/>
        <w:ind w:firstLine="622" w:firstLineChars="200"/>
        <w:rPr>
          <w:rFonts w:ascii="黑体" w:hAnsi="黑体" w:eastAsia="黑体" w:cs="黑体"/>
          <w:sz w:val="32"/>
          <w:szCs w:val="32"/>
        </w:rPr>
      </w:pPr>
      <w:r>
        <w:rPr>
          <w:rFonts w:hint="eastAsia" w:ascii="黑体" w:hAnsi="黑体" w:eastAsia="黑体" w:cs="黑体"/>
          <w:sz w:val="32"/>
          <w:szCs w:val="32"/>
        </w:rPr>
        <w:t>三、申报指南</w:t>
      </w:r>
    </w:p>
    <w:p>
      <w:pPr>
        <w:adjustRightInd w:val="0"/>
        <w:snapToGrid w:val="0"/>
        <w:spacing w:line="588" w:lineRule="exact"/>
        <w:ind w:firstLine="610" w:firstLineChars="196"/>
        <w:rPr>
          <w:rFonts w:ascii="楷体_GB2312" w:hAnsi="楷体" w:eastAsia="楷体_GB2312" w:cs="楷体"/>
          <w:bCs/>
          <w:sz w:val="32"/>
          <w:szCs w:val="32"/>
        </w:rPr>
      </w:pPr>
      <w:r>
        <w:rPr>
          <w:rFonts w:hint="eastAsia" w:ascii="楷体_GB2312" w:hAnsi="楷体" w:eastAsia="楷体_GB2312" w:cs="楷体"/>
          <w:bCs/>
          <w:sz w:val="32"/>
          <w:szCs w:val="32"/>
        </w:rPr>
        <w:t>（一）重点项目</w:t>
      </w:r>
    </w:p>
    <w:p>
      <w:pPr>
        <w:adjustRightInd w:val="0"/>
        <w:snapToGrid w:val="0"/>
        <w:spacing w:line="588" w:lineRule="exact"/>
        <w:ind w:firstLine="610" w:firstLineChars="196"/>
        <w:rPr>
          <w:rFonts w:ascii="仿宋_GB2312" w:hAnsi="仿宋" w:eastAsia="仿宋_GB2312" w:cs="仿宋"/>
          <w:b/>
          <w:sz w:val="32"/>
          <w:szCs w:val="32"/>
        </w:rPr>
      </w:pPr>
      <w:r>
        <w:rPr>
          <w:rFonts w:hint="eastAsia" w:ascii="仿宋_GB2312" w:hAnsi="仿宋" w:eastAsia="仿宋_GB2312" w:cs="仿宋"/>
          <w:b/>
          <w:sz w:val="32"/>
          <w:szCs w:val="32"/>
        </w:rPr>
        <w:t>1. 医疗保障师资队伍建设研究</w:t>
      </w:r>
    </w:p>
    <w:p>
      <w:pPr>
        <w:adjustRightInd w:val="0"/>
        <w:snapToGrid w:val="0"/>
        <w:spacing w:line="588" w:lineRule="exact"/>
        <w:ind w:firstLine="610" w:firstLineChars="196"/>
        <w:rPr>
          <w:rFonts w:ascii="仿宋_GB2312" w:hAnsi="仿宋" w:eastAsia="仿宋_GB2312" w:cs="仿宋"/>
          <w:sz w:val="32"/>
          <w:szCs w:val="32"/>
        </w:rPr>
      </w:pPr>
      <w:r>
        <w:rPr>
          <w:rFonts w:hint="eastAsia" w:ascii="仿宋_GB2312" w:hAnsi="仿宋" w:eastAsia="仿宋_GB2312" w:cs="仿宋"/>
          <w:sz w:val="32"/>
          <w:szCs w:val="32"/>
        </w:rPr>
        <w:t>主要研究国内现有医疗保障学科师资队伍、教学和培训现状，队伍构成、学</w:t>
      </w:r>
      <w:r>
        <w:rPr>
          <w:rFonts w:hint="eastAsia" w:ascii="仿宋_GB2312" w:hAnsi="仿宋" w:eastAsia="仿宋_GB2312" w:cs="仿宋"/>
          <w:sz w:val="32"/>
          <w:szCs w:val="32"/>
          <w:lang w:val="en-US" w:eastAsia="zh-CN"/>
        </w:rPr>
        <w:t>员</w:t>
      </w:r>
      <w:r>
        <w:rPr>
          <w:rFonts w:hint="eastAsia" w:ascii="仿宋_GB2312" w:hAnsi="仿宋" w:eastAsia="仿宋_GB2312" w:cs="仿宋"/>
          <w:sz w:val="32"/>
          <w:szCs w:val="32"/>
        </w:rPr>
        <w:t>结构、教学内容、科研力量以及研究课题等，针对师资队伍建设、人才培训模式与建设提出发展规划。</w:t>
      </w:r>
    </w:p>
    <w:p>
      <w:pPr>
        <w:adjustRightInd w:val="0"/>
        <w:snapToGrid w:val="0"/>
        <w:spacing w:line="560" w:lineRule="exact"/>
        <w:ind w:firstLine="607" w:firstLineChars="195"/>
        <w:rPr>
          <w:rFonts w:ascii="仿宋_GB2312" w:hAnsi="仿宋" w:eastAsia="仿宋_GB2312" w:cs="仿宋"/>
          <w:b/>
          <w:sz w:val="32"/>
          <w:szCs w:val="32"/>
        </w:rPr>
      </w:pPr>
      <w:r>
        <w:rPr>
          <w:rFonts w:hint="eastAsia" w:ascii="仿宋_GB2312" w:hAnsi="仿宋" w:eastAsia="仿宋_GB2312" w:cs="仿宋"/>
          <w:b/>
          <w:sz w:val="32"/>
          <w:szCs w:val="32"/>
          <w:lang w:val="en-US" w:eastAsia="zh-CN"/>
        </w:rPr>
        <w:t>2</w:t>
      </w:r>
      <w:r>
        <w:rPr>
          <w:rFonts w:hint="eastAsia" w:ascii="仿宋_GB2312" w:hAnsi="仿宋" w:eastAsia="仿宋_GB2312" w:cs="仿宋"/>
          <w:b/>
          <w:sz w:val="32"/>
          <w:szCs w:val="32"/>
        </w:rPr>
        <w:t>. 国内外医疗服务项目医保准入管理研究</w:t>
      </w:r>
    </w:p>
    <w:p>
      <w:pPr>
        <w:adjustRightInd w:val="0"/>
        <w:snapToGrid w:val="0"/>
        <w:spacing w:line="560" w:lineRule="exact"/>
        <w:ind w:firstLine="607" w:firstLineChars="195"/>
        <w:rPr>
          <w:rFonts w:ascii="仿宋_GB2312" w:hAnsi="仿宋" w:eastAsia="仿宋_GB2312" w:cs="仿宋"/>
          <w:sz w:val="32"/>
          <w:szCs w:val="32"/>
        </w:rPr>
      </w:pPr>
      <w:r>
        <w:rPr>
          <w:rFonts w:hint="eastAsia" w:ascii="仿宋_GB2312" w:hAnsi="仿宋" w:eastAsia="仿宋_GB2312" w:cs="仿宋"/>
          <w:sz w:val="32"/>
          <w:szCs w:val="32"/>
        </w:rPr>
        <w:t>探讨国际上不同国家医疗服务项目医保准入方式及考虑的重点因素，提出适合中国国情的医疗服务项目准入管理策略及路径。</w:t>
      </w:r>
    </w:p>
    <w:p>
      <w:pPr>
        <w:adjustRightInd w:val="0"/>
        <w:snapToGrid w:val="0"/>
        <w:spacing w:line="588" w:lineRule="exact"/>
        <w:ind w:firstLine="610" w:firstLineChars="196"/>
        <w:rPr>
          <w:rFonts w:ascii="楷体_GB2312" w:hAnsi="楷体" w:eastAsia="楷体_GB2312" w:cs="楷体"/>
          <w:bCs/>
          <w:sz w:val="32"/>
          <w:szCs w:val="32"/>
        </w:rPr>
      </w:pPr>
      <w:r>
        <w:rPr>
          <w:rFonts w:hint="eastAsia" w:ascii="楷体_GB2312" w:hAnsi="楷体" w:eastAsia="楷体_GB2312" w:cs="楷体"/>
          <w:bCs/>
          <w:sz w:val="32"/>
          <w:szCs w:val="32"/>
        </w:rPr>
        <w:t>（二）面上项目</w:t>
      </w:r>
    </w:p>
    <w:p>
      <w:pPr>
        <w:adjustRightInd w:val="0"/>
        <w:snapToGrid w:val="0"/>
        <w:spacing w:line="560" w:lineRule="exact"/>
        <w:ind w:firstLine="607" w:firstLineChars="195"/>
        <w:rPr>
          <w:rFonts w:ascii="仿宋_GB2312" w:hAnsi="仿宋" w:eastAsia="仿宋_GB2312" w:cs="仿宋"/>
          <w:b/>
          <w:sz w:val="32"/>
          <w:szCs w:val="32"/>
        </w:rPr>
      </w:pPr>
      <w:r>
        <w:rPr>
          <w:rFonts w:ascii="仿宋_GB2312" w:hAnsi="仿宋" w:eastAsia="仿宋_GB2312" w:cs="仿宋"/>
          <w:b/>
          <w:sz w:val="32"/>
          <w:szCs w:val="32"/>
        </w:rPr>
        <w:t>1</w:t>
      </w:r>
      <w:r>
        <w:rPr>
          <w:rFonts w:hint="eastAsia" w:ascii="仿宋_GB2312" w:hAnsi="仿宋" w:eastAsia="仿宋_GB2312" w:cs="仿宋"/>
          <w:b/>
          <w:sz w:val="32"/>
          <w:szCs w:val="32"/>
        </w:rPr>
        <w:t>. 医保基金运行管理机制研究</w:t>
      </w:r>
    </w:p>
    <w:p>
      <w:pPr>
        <w:adjustRightInd w:val="0"/>
        <w:snapToGrid w:val="0"/>
        <w:spacing w:line="560" w:lineRule="exact"/>
        <w:ind w:firstLine="607" w:firstLineChars="195"/>
        <w:rPr>
          <w:rFonts w:ascii="仿宋_GB2312" w:hAnsi="仿宋" w:eastAsia="仿宋_GB2312" w:cs="仿宋"/>
          <w:sz w:val="32"/>
          <w:szCs w:val="32"/>
        </w:rPr>
      </w:pPr>
      <w:r>
        <w:rPr>
          <w:rFonts w:hint="eastAsia" w:ascii="仿宋_GB2312" w:hAnsi="仿宋" w:eastAsia="仿宋_GB2312" w:cs="仿宋"/>
          <w:sz w:val="32"/>
          <w:szCs w:val="32"/>
        </w:rPr>
        <w:t>主要研究医保基金运行管理的总体思路、框架和调控工具，探讨医保基金运行管理与预算管理的关系，以及医保基金运行管理与基金区域平衡机制的关系。</w:t>
      </w:r>
    </w:p>
    <w:p>
      <w:pPr>
        <w:adjustRightInd w:val="0"/>
        <w:snapToGrid w:val="0"/>
        <w:spacing w:line="560" w:lineRule="exact"/>
        <w:ind w:firstLine="607" w:firstLineChars="195"/>
        <w:rPr>
          <w:rFonts w:ascii="仿宋_GB2312" w:hAnsi="仿宋" w:eastAsia="仿宋_GB2312" w:cs="仿宋"/>
          <w:b/>
          <w:bCs/>
          <w:sz w:val="32"/>
          <w:szCs w:val="32"/>
        </w:rPr>
      </w:pPr>
      <w:r>
        <w:rPr>
          <w:rFonts w:ascii="仿宋_GB2312" w:hAnsi="仿宋" w:eastAsia="仿宋_GB2312" w:cs="仿宋"/>
          <w:b/>
          <w:sz w:val="32"/>
          <w:szCs w:val="32"/>
        </w:rPr>
        <w:t>2</w:t>
      </w:r>
      <w:r>
        <w:rPr>
          <w:rFonts w:hint="eastAsia" w:ascii="仿宋_GB2312" w:hAnsi="仿宋" w:eastAsia="仿宋_GB2312" w:cs="仿宋"/>
          <w:b/>
          <w:bCs/>
          <w:sz w:val="32"/>
          <w:szCs w:val="32"/>
        </w:rPr>
        <w:t>. 按病种分值付费（DIP）实施效果研究</w:t>
      </w:r>
    </w:p>
    <w:p>
      <w:pPr>
        <w:widowControl/>
        <w:spacing w:line="560" w:lineRule="exact"/>
        <w:ind w:firstLine="467" w:firstLineChars="150"/>
        <w:rPr>
          <w:rFonts w:ascii="仿宋_GB2312" w:eastAsia="仿宋_GB2312" w:cs="Calibri"/>
          <w:bCs/>
          <w:sz w:val="32"/>
          <w:szCs w:val="32"/>
        </w:rPr>
      </w:pPr>
      <w:r>
        <w:rPr>
          <w:rFonts w:hint="eastAsia" w:ascii="仿宋_GB2312" w:eastAsia="仿宋_GB2312" w:cs="Calibri"/>
          <w:bCs/>
          <w:sz w:val="32"/>
          <w:szCs w:val="32"/>
        </w:rPr>
        <w:t>选择已经实施DIP的地区，分析按病种分值付费改革对医疗机构医疗服务质量、医院精细化管理以及医疗费用变化的影响，提出完善DIP试点的措施和办法。</w:t>
      </w:r>
    </w:p>
    <w:p>
      <w:pPr>
        <w:adjustRightInd w:val="0"/>
        <w:snapToGrid w:val="0"/>
        <w:spacing w:line="560" w:lineRule="exact"/>
        <w:ind w:firstLine="610" w:firstLineChars="196"/>
        <w:rPr>
          <w:rFonts w:ascii="仿宋_GB2312" w:hAnsi="仿宋" w:eastAsia="仿宋_GB2312" w:cs="仿宋"/>
          <w:b/>
          <w:sz w:val="32"/>
          <w:szCs w:val="32"/>
        </w:rPr>
      </w:pPr>
      <w:r>
        <w:rPr>
          <w:rFonts w:ascii="仿宋_GB2312" w:hAnsi="仿宋" w:eastAsia="仿宋_GB2312" w:cs="仿宋"/>
          <w:b/>
          <w:sz w:val="32"/>
          <w:szCs w:val="32"/>
        </w:rPr>
        <w:t xml:space="preserve">3. </w:t>
      </w:r>
      <w:r>
        <w:rPr>
          <w:rFonts w:hint="eastAsia" w:ascii="仿宋_GB2312" w:hAnsi="仿宋" w:eastAsia="仿宋_GB2312" w:cs="仿宋"/>
          <w:b/>
          <w:sz w:val="32"/>
          <w:szCs w:val="32"/>
        </w:rPr>
        <w:t>按人头付费改革与慢性病管理的融合路径研究</w:t>
      </w:r>
    </w:p>
    <w:p>
      <w:pPr>
        <w:adjustRightInd w:val="0"/>
        <w:snapToGrid w:val="0"/>
        <w:spacing w:line="588" w:lineRule="exact"/>
        <w:ind w:firstLine="607" w:firstLineChars="195"/>
        <w:rPr>
          <w:rFonts w:ascii="仿宋_GB2312" w:hAnsi="仿宋" w:eastAsia="仿宋_GB2312" w:cs="仿宋"/>
          <w:sz w:val="32"/>
          <w:szCs w:val="32"/>
        </w:rPr>
      </w:pPr>
      <w:r>
        <w:rPr>
          <w:rFonts w:ascii="仿宋_GB2312" w:hAnsi="仿宋" w:eastAsia="仿宋_GB2312" w:cs="仿宋"/>
          <w:sz w:val="32"/>
          <w:szCs w:val="32"/>
        </w:rPr>
        <w:t>借鉴国际经验，立足健康中国的目标，探讨</w:t>
      </w:r>
      <w:r>
        <w:rPr>
          <w:rFonts w:hint="eastAsia" w:ascii="仿宋_GB2312" w:hAnsi="仿宋" w:eastAsia="仿宋_GB2312" w:cs="仿宋"/>
          <w:sz w:val="32"/>
          <w:szCs w:val="32"/>
        </w:rPr>
        <w:t>慢性病管理的过程中，</w:t>
      </w:r>
      <w:r>
        <w:rPr>
          <w:rFonts w:ascii="仿宋_GB2312" w:hAnsi="仿宋" w:eastAsia="仿宋_GB2312" w:cs="仿宋"/>
          <w:sz w:val="32"/>
          <w:szCs w:val="32"/>
        </w:rPr>
        <w:t>医保</w:t>
      </w:r>
      <w:r>
        <w:rPr>
          <w:rFonts w:hint="eastAsia" w:ascii="仿宋_GB2312" w:hAnsi="仿宋" w:eastAsia="仿宋_GB2312" w:cs="仿宋"/>
          <w:sz w:val="32"/>
          <w:szCs w:val="32"/>
        </w:rPr>
        <w:t>通过基层按人头付费的方式推进医保支付方式改革，</w:t>
      </w:r>
      <w:r>
        <w:rPr>
          <w:rFonts w:ascii="仿宋_GB2312" w:hAnsi="仿宋" w:eastAsia="仿宋_GB2312" w:cs="仿宋"/>
          <w:sz w:val="32"/>
          <w:szCs w:val="32"/>
        </w:rPr>
        <w:t>促进以基层卫生服务为重点的慢性病管理。</w:t>
      </w:r>
      <w:r>
        <w:rPr>
          <w:rFonts w:hint="eastAsia" w:ascii="仿宋_GB2312" w:hAnsi="仿宋" w:eastAsia="仿宋_GB2312" w:cs="仿宋"/>
          <w:sz w:val="32"/>
          <w:szCs w:val="32"/>
        </w:rPr>
        <w:t>使基层协同推进慢性病的基本医疗服务和公共卫生服务，实现基层慢性病协同管理。</w:t>
      </w:r>
    </w:p>
    <w:p>
      <w:pPr>
        <w:adjustRightInd w:val="0"/>
        <w:snapToGrid w:val="0"/>
        <w:spacing w:line="560" w:lineRule="exact"/>
        <w:ind w:firstLine="607" w:firstLineChars="195"/>
        <w:rPr>
          <w:rFonts w:ascii="仿宋_GB2312" w:hAnsi="仿宋" w:eastAsia="仿宋_GB2312" w:cs="仿宋"/>
          <w:b/>
          <w:sz w:val="32"/>
          <w:szCs w:val="32"/>
        </w:rPr>
      </w:pPr>
      <w:r>
        <w:rPr>
          <w:rFonts w:ascii="仿宋_GB2312" w:hAnsi="仿宋" w:eastAsia="仿宋_GB2312" w:cs="仿宋"/>
          <w:b/>
          <w:sz w:val="32"/>
          <w:szCs w:val="32"/>
        </w:rPr>
        <w:t>4</w:t>
      </w:r>
      <w:r>
        <w:rPr>
          <w:rFonts w:hint="eastAsia" w:ascii="仿宋_GB2312" w:hAnsi="仿宋" w:eastAsia="仿宋_GB2312" w:cs="仿宋"/>
          <w:b/>
          <w:sz w:val="32"/>
          <w:szCs w:val="32"/>
        </w:rPr>
        <w:t>. 医保异地就医结算的支付模式研究</w:t>
      </w:r>
    </w:p>
    <w:p>
      <w:pPr>
        <w:widowControl/>
        <w:ind w:firstLine="610" w:firstLineChars="196"/>
        <w:rPr>
          <w:rFonts w:ascii="仿宋_GB2312" w:hAnsi="仿宋" w:eastAsia="仿宋_GB2312" w:cs="仿宋"/>
          <w:sz w:val="32"/>
          <w:szCs w:val="32"/>
        </w:rPr>
      </w:pPr>
      <w:r>
        <w:rPr>
          <w:rFonts w:hint="eastAsia" w:ascii="仿宋_GB2312" w:hAnsi="仿宋" w:eastAsia="仿宋_GB2312" w:cs="仿宋"/>
          <w:sz w:val="32"/>
          <w:szCs w:val="32"/>
        </w:rPr>
        <w:t>结合医保支付方式改革进展，探索门诊费用、住院费用跨省直接结算创新的支付模式。</w:t>
      </w:r>
    </w:p>
    <w:p>
      <w:pPr>
        <w:adjustRightInd w:val="0"/>
        <w:snapToGrid w:val="0"/>
        <w:spacing w:line="560" w:lineRule="exact"/>
        <w:ind w:firstLine="607" w:firstLineChars="195"/>
        <w:rPr>
          <w:rFonts w:ascii="仿宋_GB2312" w:hAnsi="仿宋" w:eastAsia="仿宋_GB2312" w:cs="仿宋"/>
          <w:b/>
          <w:sz w:val="32"/>
          <w:szCs w:val="32"/>
        </w:rPr>
      </w:pPr>
      <w:r>
        <w:rPr>
          <w:rFonts w:ascii="仿宋_GB2312" w:hAnsi="仿宋" w:eastAsia="仿宋_GB2312" w:cs="仿宋"/>
          <w:b/>
          <w:sz w:val="32"/>
          <w:szCs w:val="32"/>
        </w:rPr>
        <w:t>5</w:t>
      </w:r>
      <w:r>
        <w:rPr>
          <w:rFonts w:hint="eastAsia" w:ascii="仿宋_GB2312" w:hAnsi="仿宋" w:eastAsia="仿宋_GB2312" w:cs="仿宋"/>
          <w:b/>
          <w:sz w:val="32"/>
          <w:szCs w:val="32"/>
        </w:rPr>
        <w:t>. 医保基金安全驱动的支付方式改革研究</w:t>
      </w:r>
    </w:p>
    <w:p>
      <w:pPr>
        <w:adjustRightInd w:val="0"/>
        <w:snapToGrid w:val="0"/>
        <w:spacing w:line="588" w:lineRule="exact"/>
        <w:ind w:firstLine="607" w:firstLineChars="195"/>
        <w:rPr>
          <w:rFonts w:ascii="仿宋_GB2312" w:hAnsi="仿宋" w:eastAsia="仿宋_GB2312" w:cs="仿宋"/>
          <w:bCs/>
          <w:sz w:val="32"/>
          <w:szCs w:val="32"/>
        </w:rPr>
      </w:pPr>
      <w:r>
        <w:rPr>
          <w:rFonts w:hint="eastAsia" w:ascii="仿宋_GB2312" w:hAnsi="仿宋" w:eastAsia="仿宋_GB2312" w:cs="仿宋"/>
          <w:bCs/>
          <w:sz w:val="32"/>
          <w:szCs w:val="32"/>
        </w:rPr>
        <w:t>医保基金收入增速和支出增速预测研究，探讨从回顾性付费到前瞻式付费必须的几个条件。</w:t>
      </w:r>
    </w:p>
    <w:p>
      <w:pPr>
        <w:adjustRightInd w:val="0"/>
        <w:snapToGrid w:val="0"/>
        <w:spacing w:line="560" w:lineRule="exact"/>
        <w:ind w:firstLine="607" w:firstLineChars="195"/>
        <w:rPr>
          <w:rFonts w:ascii="仿宋_GB2312" w:hAnsi="仿宋" w:eastAsia="仿宋_GB2312" w:cs="仿宋"/>
          <w:b/>
          <w:sz w:val="32"/>
          <w:szCs w:val="32"/>
        </w:rPr>
      </w:pPr>
      <w:r>
        <w:rPr>
          <w:rFonts w:ascii="仿宋_GB2312" w:hAnsi="仿宋" w:eastAsia="仿宋_GB2312" w:cs="仿宋"/>
          <w:b/>
          <w:sz w:val="32"/>
          <w:szCs w:val="32"/>
        </w:rPr>
        <w:t>6.</w:t>
      </w:r>
      <w:r>
        <w:rPr>
          <w:rFonts w:hint="eastAsia" w:ascii="仿宋_GB2312" w:hAnsi="仿宋" w:eastAsia="仿宋_GB2312" w:cs="仿宋"/>
          <w:b/>
          <w:sz w:val="32"/>
          <w:szCs w:val="32"/>
        </w:rPr>
        <w:t>我国医保基金监管的法制化研究</w:t>
      </w:r>
    </w:p>
    <w:p>
      <w:pPr>
        <w:adjustRightInd w:val="0"/>
        <w:snapToGrid w:val="0"/>
        <w:spacing w:line="588" w:lineRule="exact"/>
        <w:ind w:firstLine="607" w:firstLineChars="195"/>
        <w:rPr>
          <w:rFonts w:ascii="仿宋_GB2312" w:hAnsi="仿宋" w:eastAsia="仿宋_GB2312" w:cs="仿宋"/>
          <w:bCs/>
          <w:sz w:val="32"/>
          <w:szCs w:val="32"/>
        </w:rPr>
      </w:pPr>
      <w:r>
        <w:rPr>
          <w:rFonts w:hint="eastAsia" w:ascii="仿宋_GB2312" w:hAnsi="仿宋" w:eastAsia="仿宋_GB2312" w:cs="仿宋"/>
          <w:bCs/>
          <w:sz w:val="32"/>
          <w:szCs w:val="32"/>
        </w:rPr>
        <w:t>通过对医保基金监管的国外立法的比较研究，结合我国地方立法，完成我国基金监管条例的建议稿，加快法制化进程。</w:t>
      </w:r>
    </w:p>
    <w:p>
      <w:pPr>
        <w:adjustRightInd w:val="0"/>
        <w:snapToGrid w:val="0"/>
        <w:spacing w:line="588" w:lineRule="exact"/>
        <w:ind w:firstLine="607" w:firstLineChars="195"/>
        <w:rPr>
          <w:rFonts w:ascii="仿宋_GB2312" w:hAnsi="仿宋" w:eastAsia="仿宋_GB2312" w:cs="仿宋"/>
          <w:b/>
          <w:bCs/>
          <w:sz w:val="32"/>
          <w:szCs w:val="32"/>
        </w:rPr>
      </w:pPr>
      <w:r>
        <w:rPr>
          <w:rFonts w:ascii="仿宋_GB2312" w:hAnsi="仿宋" w:eastAsia="仿宋_GB2312" w:cs="仿宋"/>
          <w:b/>
          <w:bCs/>
          <w:sz w:val="32"/>
          <w:szCs w:val="32"/>
        </w:rPr>
        <w:t>7</w:t>
      </w:r>
      <w:r>
        <w:rPr>
          <w:rFonts w:hint="eastAsia" w:ascii="仿宋_GB2312" w:hAnsi="仿宋" w:eastAsia="仿宋_GB2312" w:cs="仿宋"/>
          <w:b/>
          <w:bCs/>
          <w:sz w:val="32"/>
          <w:szCs w:val="32"/>
        </w:rPr>
        <w:t>. 商业保险机构承办大病保险内审内控机制研究</w:t>
      </w:r>
    </w:p>
    <w:p>
      <w:pPr>
        <w:adjustRightInd w:val="0"/>
        <w:snapToGrid w:val="0"/>
        <w:spacing w:line="588" w:lineRule="exact"/>
        <w:ind w:firstLine="607" w:firstLineChars="195"/>
        <w:rPr>
          <w:rFonts w:ascii="仿宋_GB2312" w:hAnsi="仿宋" w:eastAsia="仿宋_GB2312" w:cs="仿宋"/>
          <w:bCs/>
          <w:sz w:val="32"/>
          <w:szCs w:val="32"/>
        </w:rPr>
      </w:pPr>
      <w:r>
        <w:rPr>
          <w:rFonts w:hint="eastAsia" w:ascii="仿宋_GB2312" w:hAnsi="仿宋" w:eastAsia="仿宋_GB2312" w:cs="仿宋"/>
          <w:bCs/>
          <w:sz w:val="32"/>
          <w:szCs w:val="32"/>
        </w:rPr>
        <w:t>研究梳理商保机构承办大病保险业务基金使用管理现状、问题，研究提出内审内控管理机制相关政策建议。</w:t>
      </w:r>
    </w:p>
    <w:p>
      <w:pPr>
        <w:adjustRightInd w:val="0"/>
        <w:snapToGrid w:val="0"/>
        <w:spacing w:line="560" w:lineRule="exact"/>
        <w:ind w:firstLine="622" w:firstLineChars="200"/>
        <w:rPr>
          <w:rFonts w:ascii="仿宋_GB2312" w:hAnsi="仿宋" w:eastAsia="仿宋_GB2312" w:cs="仿宋"/>
          <w:b/>
          <w:bCs/>
          <w:sz w:val="32"/>
          <w:szCs w:val="32"/>
        </w:rPr>
      </w:pPr>
      <w:r>
        <w:rPr>
          <w:rFonts w:ascii="仿宋_GB2312" w:hAnsi="仿宋" w:eastAsia="仿宋_GB2312" w:cs="仿宋"/>
          <w:b/>
          <w:bCs/>
          <w:sz w:val="32"/>
          <w:szCs w:val="32"/>
        </w:rPr>
        <w:t>8</w:t>
      </w:r>
      <w:r>
        <w:rPr>
          <w:rFonts w:hint="eastAsia" w:ascii="仿宋_GB2312" w:hAnsi="仿宋" w:eastAsia="仿宋_GB2312" w:cs="仿宋"/>
          <w:b/>
          <w:bCs/>
          <w:sz w:val="32"/>
          <w:szCs w:val="32"/>
        </w:rPr>
        <w:t>. 医养结合模式下医保基金国际监管经验研究</w:t>
      </w:r>
    </w:p>
    <w:p>
      <w:pPr>
        <w:adjustRightInd w:val="0"/>
        <w:snapToGrid w:val="0"/>
        <w:spacing w:line="588" w:lineRule="exact"/>
        <w:ind w:firstLine="607" w:firstLineChars="195"/>
        <w:rPr>
          <w:rFonts w:ascii="仿宋_GB2312" w:hAnsi="仿宋" w:eastAsia="仿宋_GB2312" w:cs="仿宋"/>
          <w:bCs/>
          <w:sz w:val="32"/>
          <w:szCs w:val="32"/>
        </w:rPr>
      </w:pPr>
      <w:r>
        <w:rPr>
          <w:rFonts w:hint="eastAsia" w:ascii="仿宋_GB2312" w:hAnsi="仿宋" w:eastAsia="仿宋_GB2312" w:cs="仿宋"/>
          <w:bCs/>
          <w:sz w:val="32"/>
          <w:szCs w:val="32"/>
        </w:rPr>
        <w:t>针对医养结合模式下医保基金监管新特点新问题开展国际经验研究并提出政策建议。</w:t>
      </w:r>
    </w:p>
    <w:p>
      <w:pPr>
        <w:adjustRightInd w:val="0"/>
        <w:snapToGrid w:val="0"/>
        <w:spacing w:line="588" w:lineRule="exact"/>
        <w:ind w:firstLine="607" w:firstLineChars="195"/>
        <w:rPr>
          <w:rFonts w:ascii="仿宋_GB2312" w:hAnsi="仿宋" w:eastAsia="仿宋_GB2312" w:cs="仿宋"/>
          <w:b/>
          <w:bCs/>
          <w:sz w:val="32"/>
          <w:szCs w:val="32"/>
        </w:rPr>
      </w:pPr>
      <w:r>
        <w:rPr>
          <w:rFonts w:ascii="仿宋_GB2312" w:hAnsi="仿宋" w:eastAsia="仿宋_GB2312" w:cs="仿宋"/>
          <w:b/>
          <w:bCs/>
          <w:sz w:val="32"/>
          <w:szCs w:val="32"/>
        </w:rPr>
        <w:t>9</w:t>
      </w:r>
      <w:r>
        <w:rPr>
          <w:rFonts w:hint="eastAsia" w:ascii="仿宋_GB2312" w:hAnsi="仿宋" w:eastAsia="仿宋_GB2312" w:cs="仿宋"/>
          <w:b/>
          <w:bCs/>
          <w:sz w:val="32"/>
          <w:szCs w:val="32"/>
        </w:rPr>
        <w:t>. 医保药品目录调整视角下卫生技术评估多维度价值判断研究</w:t>
      </w:r>
    </w:p>
    <w:p>
      <w:pPr>
        <w:adjustRightInd w:val="0"/>
        <w:snapToGrid w:val="0"/>
        <w:spacing w:line="588" w:lineRule="exact"/>
        <w:ind w:firstLine="607" w:firstLineChars="195"/>
        <w:rPr>
          <w:rFonts w:hint="eastAsia" w:ascii="仿宋_GB2312" w:hAnsi="仿宋" w:eastAsia="仿宋_GB2312" w:cs="仿宋"/>
          <w:bCs/>
          <w:color w:val="auto"/>
          <w:kern w:val="2"/>
          <w:sz w:val="32"/>
          <w:szCs w:val="32"/>
        </w:rPr>
      </w:pPr>
      <w:r>
        <w:rPr>
          <w:rFonts w:hint="eastAsia" w:ascii="仿宋_GB2312" w:hAnsi="仿宋" w:eastAsia="仿宋_GB2312" w:cs="仿宋"/>
          <w:bCs/>
          <w:sz w:val="32"/>
          <w:szCs w:val="32"/>
        </w:rPr>
        <w:t>以国家医保药品目录调整工作为抓手，以多准则决策分析理论(MCDA)为依托，形成基于我国国情的药品多维度价值判断工具包及其转化应用操作流程，以期为循证决策机制化建设提供技术支</w:t>
      </w:r>
      <w:r>
        <w:rPr>
          <w:rFonts w:hint="eastAsia" w:ascii="仿宋_GB2312" w:hAnsi="仿宋" w:eastAsia="仿宋_GB2312" w:cs="仿宋"/>
          <w:bCs/>
          <w:color w:val="auto"/>
          <w:kern w:val="2"/>
          <w:sz w:val="32"/>
          <w:szCs w:val="32"/>
        </w:rPr>
        <w:t>撑。</w:t>
      </w:r>
    </w:p>
    <w:p>
      <w:pPr>
        <w:adjustRightInd w:val="0"/>
        <w:snapToGrid w:val="0"/>
        <w:spacing w:line="588" w:lineRule="exact"/>
        <w:ind w:firstLine="622" w:firstLineChars="200"/>
        <w:rPr>
          <w:rFonts w:ascii="仿宋_GB2312" w:hAnsi="仿宋" w:eastAsia="仿宋_GB2312" w:cs="仿宋"/>
          <w:b/>
          <w:bCs/>
          <w:sz w:val="32"/>
          <w:szCs w:val="32"/>
        </w:rPr>
      </w:pPr>
      <w:r>
        <w:rPr>
          <w:rFonts w:hint="eastAsia" w:ascii="仿宋_GB2312" w:hAnsi="仿宋" w:eastAsia="仿宋_GB2312" w:cs="仿宋"/>
          <w:b/>
          <w:bCs/>
          <w:sz w:val="32"/>
          <w:szCs w:val="32"/>
        </w:rPr>
        <w:t>1</w:t>
      </w:r>
      <w:r>
        <w:rPr>
          <w:rFonts w:ascii="仿宋_GB2312" w:hAnsi="仿宋" w:eastAsia="仿宋_GB2312" w:cs="仿宋"/>
          <w:b/>
          <w:bCs/>
          <w:sz w:val="32"/>
          <w:szCs w:val="32"/>
        </w:rPr>
        <w:t>0</w:t>
      </w:r>
      <w:r>
        <w:rPr>
          <w:rFonts w:hint="eastAsia" w:ascii="仿宋_GB2312" w:hAnsi="仿宋" w:eastAsia="仿宋_GB2312" w:cs="仿宋"/>
          <w:b/>
          <w:bCs/>
          <w:sz w:val="32"/>
          <w:szCs w:val="32"/>
        </w:rPr>
        <w:t>. 医保支付制度助推医联体建设的策略和路径研究</w:t>
      </w:r>
    </w:p>
    <w:p>
      <w:pPr>
        <w:adjustRightInd w:val="0"/>
        <w:snapToGrid w:val="0"/>
        <w:spacing w:line="588" w:lineRule="exact"/>
        <w:ind w:firstLine="607" w:firstLineChars="195"/>
        <w:rPr>
          <w:rFonts w:ascii="仿宋_GB2312" w:hAnsi="仿宋" w:eastAsia="仿宋_GB2312" w:cs="仿宋"/>
          <w:bCs/>
          <w:sz w:val="32"/>
          <w:szCs w:val="32"/>
        </w:rPr>
      </w:pPr>
      <w:r>
        <w:rPr>
          <w:rFonts w:hint="eastAsia" w:ascii="仿宋_GB2312" w:hAnsi="仿宋" w:eastAsia="仿宋_GB2312" w:cs="仿宋"/>
          <w:bCs/>
          <w:sz w:val="32"/>
          <w:szCs w:val="32"/>
        </w:rPr>
        <w:t>在建立紧密型医联体的过程中，如何利用医保支付方式推动医联体的建设，具体实施策略和路径应该怎样建立。</w:t>
      </w:r>
    </w:p>
    <w:p>
      <w:pPr>
        <w:ind w:firstLine="622" w:firstLineChars="200"/>
        <w:rPr>
          <w:rFonts w:ascii="仿宋_GB2312" w:hAnsi="仿宋" w:eastAsia="仿宋_GB2312" w:cs="仿宋"/>
          <w:b/>
          <w:bCs/>
          <w:sz w:val="32"/>
          <w:szCs w:val="32"/>
        </w:rPr>
      </w:pPr>
      <w:r>
        <w:rPr>
          <w:rFonts w:hint="eastAsia" w:ascii="仿宋_GB2312" w:hAnsi="仿宋" w:eastAsia="仿宋_GB2312" w:cs="仿宋"/>
          <w:b/>
          <w:bCs/>
          <w:sz w:val="32"/>
          <w:szCs w:val="32"/>
        </w:rPr>
        <w:t>1</w:t>
      </w:r>
      <w:r>
        <w:rPr>
          <w:rFonts w:ascii="仿宋_GB2312" w:hAnsi="仿宋" w:eastAsia="仿宋_GB2312" w:cs="仿宋"/>
          <w:b/>
          <w:bCs/>
          <w:sz w:val="32"/>
          <w:szCs w:val="32"/>
        </w:rPr>
        <w:t>1</w:t>
      </w:r>
      <w:r>
        <w:rPr>
          <w:rFonts w:hint="eastAsia" w:ascii="仿宋_GB2312" w:hAnsi="仿宋" w:eastAsia="仿宋_GB2312" w:cs="仿宋"/>
          <w:b/>
          <w:bCs/>
          <w:sz w:val="32"/>
          <w:szCs w:val="32"/>
        </w:rPr>
        <w:t>. 家庭医生制度与医保支付制度联动机制研究</w:t>
      </w:r>
    </w:p>
    <w:p>
      <w:pPr>
        <w:adjustRightInd w:val="0"/>
        <w:snapToGrid w:val="0"/>
        <w:spacing w:line="588" w:lineRule="exact"/>
        <w:ind w:firstLine="607" w:firstLineChars="195"/>
        <w:rPr>
          <w:rFonts w:ascii="仿宋_GB2312" w:hAnsi="仿宋" w:eastAsia="仿宋_GB2312" w:cs="仿宋"/>
          <w:bCs/>
          <w:sz w:val="32"/>
          <w:szCs w:val="32"/>
        </w:rPr>
      </w:pPr>
      <w:r>
        <w:rPr>
          <w:rFonts w:hint="eastAsia" w:ascii="仿宋_GB2312" w:hAnsi="仿宋" w:eastAsia="仿宋_GB2312" w:cs="仿宋"/>
          <w:bCs/>
          <w:sz w:val="32"/>
          <w:szCs w:val="32"/>
        </w:rPr>
        <w:t>对家庭医生制度和医保支付制度相结合的可行性和预期效果进行全面论证，为家庭医生制度改革攻坚提供参考和借鉴。</w:t>
      </w:r>
    </w:p>
    <w:p>
      <w:pPr>
        <w:adjustRightInd w:val="0"/>
        <w:snapToGrid w:val="0"/>
        <w:spacing w:line="588" w:lineRule="exact"/>
        <w:ind w:firstLine="607" w:firstLineChars="195"/>
        <w:rPr>
          <w:rFonts w:ascii="仿宋_GB2312" w:hAnsi="仿宋" w:eastAsia="仿宋_GB2312" w:cs="仿宋"/>
          <w:b/>
          <w:bCs/>
          <w:sz w:val="32"/>
          <w:szCs w:val="32"/>
        </w:rPr>
      </w:pPr>
      <w:r>
        <w:rPr>
          <w:rFonts w:hint="eastAsia" w:ascii="仿宋_GB2312" w:hAnsi="仿宋" w:eastAsia="仿宋_GB2312" w:cs="仿宋"/>
          <w:b/>
          <w:bCs/>
          <w:sz w:val="32"/>
          <w:szCs w:val="32"/>
        </w:rPr>
        <w:t>1</w:t>
      </w:r>
      <w:r>
        <w:rPr>
          <w:rFonts w:ascii="仿宋_GB2312" w:hAnsi="仿宋" w:eastAsia="仿宋_GB2312" w:cs="仿宋"/>
          <w:b/>
          <w:bCs/>
          <w:sz w:val="32"/>
          <w:szCs w:val="32"/>
        </w:rPr>
        <w:t>2</w:t>
      </w:r>
      <w:r>
        <w:rPr>
          <w:rFonts w:hint="eastAsia" w:ascii="仿宋_GB2312" w:hAnsi="仿宋" w:eastAsia="仿宋_GB2312" w:cs="仿宋"/>
          <w:b/>
          <w:bCs/>
          <w:sz w:val="32"/>
          <w:szCs w:val="32"/>
        </w:rPr>
        <w:t>. 人工智能辅助等医疗服务新技术、新业态价格机制的前瞻性研究</w:t>
      </w:r>
    </w:p>
    <w:p>
      <w:pPr>
        <w:adjustRightInd w:val="0"/>
        <w:snapToGrid w:val="0"/>
        <w:spacing w:line="588" w:lineRule="exact"/>
        <w:ind w:firstLine="607" w:firstLineChars="195"/>
        <w:rPr>
          <w:rFonts w:ascii="仿宋_GB2312" w:hAnsi="仿宋" w:eastAsia="仿宋_GB2312" w:cs="仿宋"/>
          <w:bCs/>
          <w:sz w:val="32"/>
          <w:szCs w:val="32"/>
        </w:rPr>
      </w:pPr>
      <w:r>
        <w:rPr>
          <w:rFonts w:hint="eastAsia" w:ascii="仿宋_GB2312" w:hAnsi="仿宋" w:eastAsia="仿宋_GB2312" w:cs="仿宋"/>
          <w:bCs/>
          <w:sz w:val="32"/>
          <w:szCs w:val="32"/>
        </w:rPr>
        <w:t>系统研究在“人工</w:t>
      </w:r>
      <w:bookmarkStart w:id="0" w:name="_GoBack"/>
      <w:bookmarkEnd w:id="0"/>
      <w:r>
        <w:rPr>
          <w:rFonts w:hint="eastAsia" w:ascii="仿宋_GB2312" w:hAnsi="仿宋" w:eastAsia="仿宋_GB2312" w:cs="仿宋"/>
          <w:bCs/>
          <w:sz w:val="32"/>
          <w:szCs w:val="32"/>
        </w:rPr>
        <w:t>智能”、“大数据”、“5G”新业态等新技术的创新发展和蓬勃应用下，新增医疗服务项目的医保定价问题。</w:t>
      </w:r>
    </w:p>
    <w:p>
      <w:pPr>
        <w:adjustRightInd w:val="0"/>
        <w:snapToGrid w:val="0"/>
        <w:spacing w:line="588" w:lineRule="exact"/>
        <w:ind w:firstLine="607" w:firstLineChars="195"/>
        <w:rPr>
          <w:rFonts w:ascii="仿宋_GB2312" w:hAnsi="仿宋" w:eastAsia="仿宋_GB2312" w:cs="仿宋"/>
          <w:bCs/>
          <w:sz w:val="32"/>
          <w:szCs w:val="32"/>
        </w:rPr>
      </w:pPr>
    </w:p>
    <w:sectPr>
      <w:footerReference r:id="rId3" w:type="default"/>
      <w:footerReference r:id="rId4" w:type="even"/>
      <w:pgSz w:w="11906" w:h="16838"/>
      <w:pgMar w:top="2098" w:right="1474" w:bottom="1985" w:left="1588" w:header="851" w:footer="1588" w:gutter="0"/>
      <w:cols w:space="720" w:num="1"/>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1588" w:wrap="notBeside" w:vAnchor="text" w:hAnchor="margin" w:xAlign="outside" w:y="1"/>
      <w:ind w:firstLine="280" w:firstLineChars="100"/>
      <w:rPr>
        <w:rStyle w:val="18"/>
        <w:sz w:val="28"/>
      </w:rPr>
    </w:pPr>
    <w:r>
      <w:rPr>
        <w:rStyle w:val="18"/>
        <w:sz w:val="28"/>
      </w:rPr>
      <w:t xml:space="preserve">— </w:t>
    </w:r>
    <w:r>
      <w:rPr>
        <w:rStyle w:val="18"/>
        <w:rFonts w:ascii="仿宋_GB2312"/>
        <w:sz w:val="28"/>
      </w:rPr>
      <w:fldChar w:fldCharType="begin"/>
    </w:r>
    <w:r>
      <w:rPr>
        <w:rStyle w:val="18"/>
        <w:rFonts w:ascii="仿宋_GB2312"/>
        <w:sz w:val="28"/>
      </w:rPr>
      <w:instrText xml:space="preserve">PAGE  </w:instrText>
    </w:r>
    <w:r>
      <w:rPr>
        <w:rStyle w:val="18"/>
        <w:rFonts w:ascii="仿宋_GB2312"/>
        <w:sz w:val="28"/>
      </w:rPr>
      <w:fldChar w:fldCharType="separate"/>
    </w:r>
    <w:r>
      <w:rPr>
        <w:rStyle w:val="18"/>
        <w:rFonts w:ascii="仿宋_GB2312"/>
        <w:sz w:val="28"/>
      </w:rPr>
      <w:t>1</w:t>
    </w:r>
    <w:r>
      <w:rPr>
        <w:rStyle w:val="18"/>
        <w:rFonts w:ascii="仿宋_GB2312"/>
        <w:sz w:val="28"/>
      </w:rPr>
      <w:fldChar w:fldCharType="end"/>
    </w:r>
    <w:r>
      <w:rPr>
        <w:rStyle w:val="18"/>
        <w:sz w:val="28"/>
      </w:rPr>
      <w:t>—</w:t>
    </w:r>
  </w:p>
  <w:p>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end"/>
    </w:r>
  </w:p>
  <w:p>
    <w:pPr>
      <w:pStyle w:val="1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trackRevisions w:val="1"/>
  <w:documentProtection w:enforcement="0"/>
  <w:defaultTabStop w:val="420"/>
  <w:drawingGridHorizontalSpacing w:val="0"/>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9C8"/>
    <w:rsid w:val="00033051"/>
    <w:rsid w:val="00033366"/>
    <w:rsid w:val="00034E94"/>
    <w:rsid w:val="00037A3E"/>
    <w:rsid w:val="000504AF"/>
    <w:rsid w:val="00052E5B"/>
    <w:rsid w:val="000541EB"/>
    <w:rsid w:val="00055D21"/>
    <w:rsid w:val="00062213"/>
    <w:rsid w:val="00064553"/>
    <w:rsid w:val="00072CC1"/>
    <w:rsid w:val="000752D7"/>
    <w:rsid w:val="000822DB"/>
    <w:rsid w:val="00086815"/>
    <w:rsid w:val="00086A28"/>
    <w:rsid w:val="000960A7"/>
    <w:rsid w:val="00096B16"/>
    <w:rsid w:val="000A5ADE"/>
    <w:rsid w:val="000B22F4"/>
    <w:rsid w:val="000B7B75"/>
    <w:rsid w:val="000C3B1B"/>
    <w:rsid w:val="000C425C"/>
    <w:rsid w:val="000C6E29"/>
    <w:rsid w:val="000F47D1"/>
    <w:rsid w:val="000F6B40"/>
    <w:rsid w:val="0010476B"/>
    <w:rsid w:val="00111328"/>
    <w:rsid w:val="00115267"/>
    <w:rsid w:val="00125DA5"/>
    <w:rsid w:val="00157826"/>
    <w:rsid w:val="00172A27"/>
    <w:rsid w:val="00173875"/>
    <w:rsid w:val="00185F5D"/>
    <w:rsid w:val="00194655"/>
    <w:rsid w:val="001B2242"/>
    <w:rsid w:val="001C09A8"/>
    <w:rsid w:val="001C1355"/>
    <w:rsid w:val="001C74E0"/>
    <w:rsid w:val="001C7DC1"/>
    <w:rsid w:val="001D6F42"/>
    <w:rsid w:val="001D712B"/>
    <w:rsid w:val="001E1E8A"/>
    <w:rsid w:val="001E3D79"/>
    <w:rsid w:val="00201BC5"/>
    <w:rsid w:val="00204934"/>
    <w:rsid w:val="00212A5A"/>
    <w:rsid w:val="0022069E"/>
    <w:rsid w:val="00226A89"/>
    <w:rsid w:val="0026114A"/>
    <w:rsid w:val="002646AA"/>
    <w:rsid w:val="00274546"/>
    <w:rsid w:val="002767A8"/>
    <w:rsid w:val="00276D38"/>
    <w:rsid w:val="0027732B"/>
    <w:rsid w:val="0029367C"/>
    <w:rsid w:val="00294A70"/>
    <w:rsid w:val="002A65C1"/>
    <w:rsid w:val="002C2FF7"/>
    <w:rsid w:val="002C3F59"/>
    <w:rsid w:val="002D675A"/>
    <w:rsid w:val="002E22C8"/>
    <w:rsid w:val="002F5597"/>
    <w:rsid w:val="003042BE"/>
    <w:rsid w:val="00306032"/>
    <w:rsid w:val="00307362"/>
    <w:rsid w:val="00310BAC"/>
    <w:rsid w:val="00312C9C"/>
    <w:rsid w:val="00331422"/>
    <w:rsid w:val="00377C47"/>
    <w:rsid w:val="00390139"/>
    <w:rsid w:val="0039304D"/>
    <w:rsid w:val="00394D76"/>
    <w:rsid w:val="003953B9"/>
    <w:rsid w:val="003A19C4"/>
    <w:rsid w:val="003B0359"/>
    <w:rsid w:val="003D3F13"/>
    <w:rsid w:val="003E459B"/>
    <w:rsid w:val="00430785"/>
    <w:rsid w:val="00433FA3"/>
    <w:rsid w:val="00445A0A"/>
    <w:rsid w:val="00452F01"/>
    <w:rsid w:val="004559DD"/>
    <w:rsid w:val="004614B7"/>
    <w:rsid w:val="004708F2"/>
    <w:rsid w:val="00475FCA"/>
    <w:rsid w:val="004924DE"/>
    <w:rsid w:val="004D0189"/>
    <w:rsid w:val="004D3465"/>
    <w:rsid w:val="004E53DB"/>
    <w:rsid w:val="00501082"/>
    <w:rsid w:val="0050214F"/>
    <w:rsid w:val="00506119"/>
    <w:rsid w:val="00531B3E"/>
    <w:rsid w:val="00536E42"/>
    <w:rsid w:val="00540A5D"/>
    <w:rsid w:val="00544267"/>
    <w:rsid w:val="00553055"/>
    <w:rsid w:val="00553328"/>
    <w:rsid w:val="00555EE0"/>
    <w:rsid w:val="00561E05"/>
    <w:rsid w:val="00577FAE"/>
    <w:rsid w:val="005A1641"/>
    <w:rsid w:val="005A22CB"/>
    <w:rsid w:val="005A2C1B"/>
    <w:rsid w:val="005B71A2"/>
    <w:rsid w:val="005B740D"/>
    <w:rsid w:val="005D4C11"/>
    <w:rsid w:val="005F0A37"/>
    <w:rsid w:val="005F7C16"/>
    <w:rsid w:val="0060102D"/>
    <w:rsid w:val="00602EFE"/>
    <w:rsid w:val="006100E2"/>
    <w:rsid w:val="00630F99"/>
    <w:rsid w:val="0063119B"/>
    <w:rsid w:val="00631B00"/>
    <w:rsid w:val="00642509"/>
    <w:rsid w:val="00644295"/>
    <w:rsid w:val="00653F23"/>
    <w:rsid w:val="00665434"/>
    <w:rsid w:val="00665C38"/>
    <w:rsid w:val="00682222"/>
    <w:rsid w:val="006A001C"/>
    <w:rsid w:val="006A365E"/>
    <w:rsid w:val="006B17BA"/>
    <w:rsid w:val="006B4720"/>
    <w:rsid w:val="006C2BDE"/>
    <w:rsid w:val="006D5A89"/>
    <w:rsid w:val="006E01FE"/>
    <w:rsid w:val="006E2518"/>
    <w:rsid w:val="006E51AD"/>
    <w:rsid w:val="006F010B"/>
    <w:rsid w:val="0074071A"/>
    <w:rsid w:val="0075572A"/>
    <w:rsid w:val="007671DB"/>
    <w:rsid w:val="0077070B"/>
    <w:rsid w:val="007727C7"/>
    <w:rsid w:val="007739DD"/>
    <w:rsid w:val="0077792F"/>
    <w:rsid w:val="00782CF7"/>
    <w:rsid w:val="007862E2"/>
    <w:rsid w:val="007903D4"/>
    <w:rsid w:val="00794E9F"/>
    <w:rsid w:val="007B412F"/>
    <w:rsid w:val="007C2DE4"/>
    <w:rsid w:val="007C509B"/>
    <w:rsid w:val="007C60FD"/>
    <w:rsid w:val="007C7D3D"/>
    <w:rsid w:val="007E22E1"/>
    <w:rsid w:val="00804700"/>
    <w:rsid w:val="0082515F"/>
    <w:rsid w:val="00826F13"/>
    <w:rsid w:val="00830349"/>
    <w:rsid w:val="00831116"/>
    <w:rsid w:val="00834EF3"/>
    <w:rsid w:val="00843B2C"/>
    <w:rsid w:val="00847EC0"/>
    <w:rsid w:val="00863FE1"/>
    <w:rsid w:val="00866877"/>
    <w:rsid w:val="00874E1E"/>
    <w:rsid w:val="0087577D"/>
    <w:rsid w:val="0088400C"/>
    <w:rsid w:val="00885A39"/>
    <w:rsid w:val="00885FBA"/>
    <w:rsid w:val="00886594"/>
    <w:rsid w:val="00892142"/>
    <w:rsid w:val="0089512B"/>
    <w:rsid w:val="0089569A"/>
    <w:rsid w:val="008973A0"/>
    <w:rsid w:val="008A697D"/>
    <w:rsid w:val="008C424E"/>
    <w:rsid w:val="008C75FC"/>
    <w:rsid w:val="008D006C"/>
    <w:rsid w:val="008D29C6"/>
    <w:rsid w:val="008D2E2D"/>
    <w:rsid w:val="008D4206"/>
    <w:rsid w:val="008F5E27"/>
    <w:rsid w:val="00947C11"/>
    <w:rsid w:val="009601BF"/>
    <w:rsid w:val="00984420"/>
    <w:rsid w:val="009977B2"/>
    <w:rsid w:val="009A0593"/>
    <w:rsid w:val="009A0F0C"/>
    <w:rsid w:val="009B0183"/>
    <w:rsid w:val="009E3F64"/>
    <w:rsid w:val="009E6089"/>
    <w:rsid w:val="009F0FE0"/>
    <w:rsid w:val="009F1AFA"/>
    <w:rsid w:val="00A35330"/>
    <w:rsid w:val="00A61CF7"/>
    <w:rsid w:val="00A64306"/>
    <w:rsid w:val="00A72B80"/>
    <w:rsid w:val="00A853FB"/>
    <w:rsid w:val="00A87089"/>
    <w:rsid w:val="00A872AD"/>
    <w:rsid w:val="00A93D6F"/>
    <w:rsid w:val="00A961FC"/>
    <w:rsid w:val="00AE71AD"/>
    <w:rsid w:val="00AF48F8"/>
    <w:rsid w:val="00B27163"/>
    <w:rsid w:val="00B3454A"/>
    <w:rsid w:val="00B3569D"/>
    <w:rsid w:val="00B37314"/>
    <w:rsid w:val="00B42218"/>
    <w:rsid w:val="00B651F5"/>
    <w:rsid w:val="00B71D9C"/>
    <w:rsid w:val="00B75B6B"/>
    <w:rsid w:val="00B760B9"/>
    <w:rsid w:val="00B844C2"/>
    <w:rsid w:val="00BA0A6C"/>
    <w:rsid w:val="00BB1A3F"/>
    <w:rsid w:val="00BB3E15"/>
    <w:rsid w:val="00BC472E"/>
    <w:rsid w:val="00BC74B1"/>
    <w:rsid w:val="00BC792C"/>
    <w:rsid w:val="00BD4D52"/>
    <w:rsid w:val="00BE56D6"/>
    <w:rsid w:val="00BF792B"/>
    <w:rsid w:val="00C121EB"/>
    <w:rsid w:val="00C159E5"/>
    <w:rsid w:val="00C16349"/>
    <w:rsid w:val="00C173C9"/>
    <w:rsid w:val="00C21294"/>
    <w:rsid w:val="00C30B2B"/>
    <w:rsid w:val="00C328AA"/>
    <w:rsid w:val="00C65CE8"/>
    <w:rsid w:val="00C6759A"/>
    <w:rsid w:val="00C76DA9"/>
    <w:rsid w:val="00C86C03"/>
    <w:rsid w:val="00C90989"/>
    <w:rsid w:val="00C91A22"/>
    <w:rsid w:val="00CB0EB7"/>
    <w:rsid w:val="00CB6284"/>
    <w:rsid w:val="00CB67FA"/>
    <w:rsid w:val="00CC3DB1"/>
    <w:rsid w:val="00CC7C1D"/>
    <w:rsid w:val="00CE6390"/>
    <w:rsid w:val="00CF43D4"/>
    <w:rsid w:val="00CF6FC9"/>
    <w:rsid w:val="00D16C8D"/>
    <w:rsid w:val="00D21093"/>
    <w:rsid w:val="00D22939"/>
    <w:rsid w:val="00D255C8"/>
    <w:rsid w:val="00D359C9"/>
    <w:rsid w:val="00D450E7"/>
    <w:rsid w:val="00D521F3"/>
    <w:rsid w:val="00D6171F"/>
    <w:rsid w:val="00D93E8E"/>
    <w:rsid w:val="00DA2A38"/>
    <w:rsid w:val="00DA4110"/>
    <w:rsid w:val="00DA7A4B"/>
    <w:rsid w:val="00DB2D9C"/>
    <w:rsid w:val="00DC1225"/>
    <w:rsid w:val="00DC4B62"/>
    <w:rsid w:val="00DD23E2"/>
    <w:rsid w:val="00E0589B"/>
    <w:rsid w:val="00E117B9"/>
    <w:rsid w:val="00E13389"/>
    <w:rsid w:val="00E17CF1"/>
    <w:rsid w:val="00E26438"/>
    <w:rsid w:val="00E447E4"/>
    <w:rsid w:val="00E63371"/>
    <w:rsid w:val="00E63DC5"/>
    <w:rsid w:val="00E72447"/>
    <w:rsid w:val="00E91B39"/>
    <w:rsid w:val="00E94B6B"/>
    <w:rsid w:val="00E97747"/>
    <w:rsid w:val="00E97F93"/>
    <w:rsid w:val="00EB31E2"/>
    <w:rsid w:val="00EB3AD7"/>
    <w:rsid w:val="00EC1789"/>
    <w:rsid w:val="00ED57B3"/>
    <w:rsid w:val="00EE2D8F"/>
    <w:rsid w:val="00EE5011"/>
    <w:rsid w:val="00F02D62"/>
    <w:rsid w:val="00F03804"/>
    <w:rsid w:val="00F07CB8"/>
    <w:rsid w:val="00F13856"/>
    <w:rsid w:val="00F1479B"/>
    <w:rsid w:val="00F25F43"/>
    <w:rsid w:val="00F37A37"/>
    <w:rsid w:val="00F57551"/>
    <w:rsid w:val="00F6291F"/>
    <w:rsid w:val="00FA4F3D"/>
    <w:rsid w:val="00FA7CC3"/>
    <w:rsid w:val="00FB0623"/>
    <w:rsid w:val="00FB1F34"/>
    <w:rsid w:val="00FB26B2"/>
    <w:rsid w:val="00FD365D"/>
    <w:rsid w:val="00FD3E1B"/>
    <w:rsid w:val="00FD6B51"/>
    <w:rsid w:val="00FE1E9C"/>
    <w:rsid w:val="023852A6"/>
    <w:rsid w:val="03ED00C3"/>
    <w:rsid w:val="07280088"/>
    <w:rsid w:val="0CC07576"/>
    <w:rsid w:val="0F863D5D"/>
    <w:rsid w:val="1130203D"/>
    <w:rsid w:val="15D0491F"/>
    <w:rsid w:val="16F85534"/>
    <w:rsid w:val="175947C2"/>
    <w:rsid w:val="18290BCC"/>
    <w:rsid w:val="1BC653F8"/>
    <w:rsid w:val="20C8387F"/>
    <w:rsid w:val="26754D69"/>
    <w:rsid w:val="2DC24BFF"/>
    <w:rsid w:val="2FB30D8E"/>
    <w:rsid w:val="307A6038"/>
    <w:rsid w:val="32D549CF"/>
    <w:rsid w:val="37825466"/>
    <w:rsid w:val="382B433D"/>
    <w:rsid w:val="3B02193B"/>
    <w:rsid w:val="3EC97CE5"/>
    <w:rsid w:val="3F7F4906"/>
    <w:rsid w:val="41DA2097"/>
    <w:rsid w:val="48B048C7"/>
    <w:rsid w:val="53543DA5"/>
    <w:rsid w:val="5D237F64"/>
    <w:rsid w:val="62A454E0"/>
    <w:rsid w:val="631409F3"/>
    <w:rsid w:val="63ED2BD0"/>
    <w:rsid w:val="66E403C4"/>
    <w:rsid w:val="69B710E6"/>
    <w:rsid w:val="6CB31A2B"/>
    <w:rsid w:val="70B05A3C"/>
    <w:rsid w:val="7431346F"/>
    <w:rsid w:val="790955FB"/>
    <w:rsid w:val="7980012F"/>
    <w:rsid w:val="7F035807"/>
    <w:rsid w:val="7FAD42CC"/>
    <w:rsid w:val="7FD42B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unhideWhenUsed="0" w:uiPriority="0"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9"/>
    <w:pPr>
      <w:keepNext/>
      <w:keepLines/>
      <w:spacing w:before="120" w:line="360" w:lineRule="exact"/>
      <w:ind w:left="57" w:right="57"/>
      <w:jc w:val="center"/>
      <w:outlineLvl w:val="0"/>
    </w:pPr>
    <w:rPr>
      <w:rFonts w:eastAsia="黑体"/>
      <w:b/>
      <w:color w:val="FF0000"/>
      <w:kern w:val="44"/>
      <w:sz w:val="30"/>
      <w:szCs w:val="20"/>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sz w:val="24"/>
      <w:szCs w:val="20"/>
    </w:rPr>
  </w:style>
  <w:style w:type="paragraph" w:styleId="4">
    <w:name w:val="annotation text"/>
    <w:basedOn w:val="1"/>
    <w:link w:val="21"/>
    <w:semiHidden/>
    <w:qFormat/>
    <w:uiPriority w:val="99"/>
    <w:pPr>
      <w:jc w:val="left"/>
    </w:pPr>
  </w:style>
  <w:style w:type="paragraph" w:styleId="5">
    <w:name w:val="Body Text"/>
    <w:basedOn w:val="1"/>
    <w:link w:val="23"/>
    <w:qFormat/>
    <w:uiPriority w:val="99"/>
    <w:pPr>
      <w:spacing w:line="440" w:lineRule="exact"/>
    </w:pPr>
    <w:rPr>
      <w:rFonts w:eastAsia="仿宋_GB2312"/>
      <w:b/>
      <w:sz w:val="28"/>
      <w:szCs w:val="20"/>
    </w:rPr>
  </w:style>
  <w:style w:type="paragraph" w:styleId="6">
    <w:name w:val="Body Text Indent"/>
    <w:basedOn w:val="1"/>
    <w:link w:val="24"/>
    <w:qFormat/>
    <w:uiPriority w:val="99"/>
    <w:pPr>
      <w:spacing w:line="480" w:lineRule="exact"/>
      <w:ind w:firstLine="560" w:firstLineChars="200"/>
    </w:pPr>
    <w:rPr>
      <w:rFonts w:ascii="仿宋_GB2312" w:hAnsi="宋体" w:eastAsia="仿宋_GB2312"/>
      <w:sz w:val="28"/>
      <w:szCs w:val="28"/>
    </w:rPr>
  </w:style>
  <w:style w:type="paragraph" w:styleId="7">
    <w:name w:val="Plain Text"/>
    <w:basedOn w:val="1"/>
    <w:link w:val="25"/>
    <w:qFormat/>
    <w:uiPriority w:val="99"/>
    <w:rPr>
      <w:rFonts w:ascii="宋体" w:hAnsi="Courier New" w:cs="Courier New"/>
      <w:szCs w:val="21"/>
    </w:rPr>
  </w:style>
  <w:style w:type="paragraph" w:styleId="8">
    <w:name w:val="Date"/>
    <w:basedOn w:val="1"/>
    <w:next w:val="1"/>
    <w:link w:val="26"/>
    <w:qFormat/>
    <w:uiPriority w:val="99"/>
    <w:pPr>
      <w:ind w:left="100" w:leftChars="2500"/>
    </w:pPr>
    <w:rPr>
      <w:rFonts w:ascii="仿宋_GB2312" w:eastAsia="仿宋_GB2312"/>
      <w:sz w:val="32"/>
      <w:szCs w:val="20"/>
    </w:rPr>
  </w:style>
  <w:style w:type="paragraph" w:styleId="9">
    <w:name w:val="Body Text Indent 2"/>
    <w:basedOn w:val="1"/>
    <w:link w:val="27"/>
    <w:qFormat/>
    <w:uiPriority w:val="99"/>
    <w:pPr>
      <w:spacing w:after="120" w:line="480" w:lineRule="auto"/>
      <w:ind w:left="420" w:leftChars="200"/>
    </w:pPr>
  </w:style>
  <w:style w:type="paragraph" w:styleId="10">
    <w:name w:val="Balloon Text"/>
    <w:basedOn w:val="1"/>
    <w:link w:val="28"/>
    <w:semiHidden/>
    <w:qFormat/>
    <w:uiPriority w:val="99"/>
    <w:rPr>
      <w:sz w:val="18"/>
      <w:szCs w:val="18"/>
    </w:rPr>
  </w:style>
  <w:style w:type="paragraph" w:styleId="11">
    <w:name w:val="footer"/>
    <w:basedOn w:val="1"/>
    <w:link w:val="29"/>
    <w:qFormat/>
    <w:uiPriority w:val="99"/>
    <w:pPr>
      <w:tabs>
        <w:tab w:val="center" w:pos="4153"/>
        <w:tab w:val="right" w:pos="8306"/>
      </w:tabs>
      <w:snapToGrid w:val="0"/>
      <w:jc w:val="left"/>
    </w:pPr>
    <w:rPr>
      <w:sz w:val="18"/>
      <w:szCs w:val="18"/>
    </w:rPr>
  </w:style>
  <w:style w:type="paragraph" w:styleId="12">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31"/>
    <w:qFormat/>
    <w:uiPriority w:val="99"/>
    <w:pPr>
      <w:spacing w:after="120"/>
      <w:ind w:left="420" w:leftChars="200"/>
    </w:pPr>
    <w:rPr>
      <w:sz w:val="16"/>
      <w:szCs w:val="16"/>
    </w:rPr>
  </w:style>
  <w:style w:type="paragraph" w:styleId="14">
    <w:name w:val="Normal (Web)"/>
    <w:basedOn w:val="1"/>
    <w:qFormat/>
    <w:uiPriority w:val="0"/>
    <w:rPr>
      <w:rFonts w:ascii="Calibri" w:hAnsi="Calibri"/>
      <w:sz w:val="24"/>
    </w:rPr>
  </w:style>
  <w:style w:type="paragraph" w:styleId="15">
    <w:name w:val="annotation subject"/>
    <w:basedOn w:val="4"/>
    <w:next w:val="4"/>
    <w:link w:val="22"/>
    <w:semiHidden/>
    <w:qFormat/>
    <w:uiPriority w:val="99"/>
    <w:rPr>
      <w:b/>
      <w:bCs/>
    </w:rPr>
  </w:style>
  <w:style w:type="character" w:styleId="18">
    <w:name w:val="page number"/>
    <w:basedOn w:val="17"/>
    <w:qFormat/>
    <w:uiPriority w:val="99"/>
    <w:rPr>
      <w:rFonts w:cs="Times New Roman"/>
    </w:rPr>
  </w:style>
  <w:style w:type="character" w:styleId="19">
    <w:name w:val="annotation reference"/>
    <w:basedOn w:val="17"/>
    <w:semiHidden/>
    <w:qFormat/>
    <w:uiPriority w:val="99"/>
    <w:rPr>
      <w:rFonts w:cs="Times New Roman"/>
      <w:sz w:val="21"/>
      <w:szCs w:val="21"/>
    </w:rPr>
  </w:style>
  <w:style w:type="character" w:customStyle="1" w:styleId="20">
    <w:name w:val="标题 1 Char"/>
    <w:basedOn w:val="17"/>
    <w:link w:val="2"/>
    <w:qFormat/>
    <w:uiPriority w:val="9"/>
    <w:rPr>
      <w:b/>
      <w:bCs/>
      <w:kern w:val="44"/>
      <w:sz w:val="44"/>
      <w:szCs w:val="44"/>
    </w:rPr>
  </w:style>
  <w:style w:type="character" w:customStyle="1" w:styleId="21">
    <w:name w:val="批注文字 Char"/>
    <w:basedOn w:val="17"/>
    <w:link w:val="4"/>
    <w:semiHidden/>
    <w:qFormat/>
    <w:uiPriority w:val="99"/>
    <w:rPr>
      <w:szCs w:val="24"/>
    </w:rPr>
  </w:style>
  <w:style w:type="character" w:customStyle="1" w:styleId="22">
    <w:name w:val="批注主题 Char"/>
    <w:basedOn w:val="21"/>
    <w:link w:val="15"/>
    <w:semiHidden/>
    <w:qFormat/>
    <w:uiPriority w:val="99"/>
    <w:rPr>
      <w:b/>
      <w:bCs/>
      <w:szCs w:val="24"/>
    </w:rPr>
  </w:style>
  <w:style w:type="character" w:customStyle="1" w:styleId="23">
    <w:name w:val="正文文本 Char"/>
    <w:basedOn w:val="17"/>
    <w:link w:val="5"/>
    <w:semiHidden/>
    <w:qFormat/>
    <w:uiPriority w:val="99"/>
    <w:rPr>
      <w:szCs w:val="24"/>
    </w:rPr>
  </w:style>
  <w:style w:type="character" w:customStyle="1" w:styleId="24">
    <w:name w:val="正文文本缩进 Char"/>
    <w:basedOn w:val="17"/>
    <w:link w:val="6"/>
    <w:semiHidden/>
    <w:qFormat/>
    <w:uiPriority w:val="99"/>
    <w:rPr>
      <w:szCs w:val="24"/>
    </w:rPr>
  </w:style>
  <w:style w:type="character" w:customStyle="1" w:styleId="25">
    <w:name w:val="纯文本 Char"/>
    <w:basedOn w:val="17"/>
    <w:link w:val="7"/>
    <w:qFormat/>
    <w:locked/>
    <w:uiPriority w:val="99"/>
    <w:rPr>
      <w:rFonts w:ascii="宋体" w:hAnsi="Courier New" w:cs="Courier New"/>
      <w:kern w:val="2"/>
      <w:sz w:val="21"/>
      <w:szCs w:val="21"/>
    </w:rPr>
  </w:style>
  <w:style w:type="character" w:customStyle="1" w:styleId="26">
    <w:name w:val="日期 Char"/>
    <w:basedOn w:val="17"/>
    <w:link w:val="8"/>
    <w:semiHidden/>
    <w:qFormat/>
    <w:uiPriority w:val="99"/>
    <w:rPr>
      <w:szCs w:val="24"/>
    </w:rPr>
  </w:style>
  <w:style w:type="character" w:customStyle="1" w:styleId="27">
    <w:name w:val="正文文本缩进 2 Char"/>
    <w:basedOn w:val="17"/>
    <w:link w:val="9"/>
    <w:semiHidden/>
    <w:qFormat/>
    <w:uiPriority w:val="99"/>
    <w:rPr>
      <w:szCs w:val="24"/>
    </w:rPr>
  </w:style>
  <w:style w:type="character" w:customStyle="1" w:styleId="28">
    <w:name w:val="批注框文本 Char"/>
    <w:basedOn w:val="17"/>
    <w:link w:val="10"/>
    <w:semiHidden/>
    <w:qFormat/>
    <w:uiPriority w:val="99"/>
    <w:rPr>
      <w:sz w:val="0"/>
      <w:szCs w:val="0"/>
    </w:rPr>
  </w:style>
  <w:style w:type="character" w:customStyle="1" w:styleId="29">
    <w:name w:val="页脚 Char"/>
    <w:basedOn w:val="17"/>
    <w:link w:val="11"/>
    <w:semiHidden/>
    <w:qFormat/>
    <w:uiPriority w:val="99"/>
    <w:rPr>
      <w:sz w:val="18"/>
      <w:szCs w:val="18"/>
    </w:rPr>
  </w:style>
  <w:style w:type="character" w:customStyle="1" w:styleId="30">
    <w:name w:val="页眉 Char"/>
    <w:basedOn w:val="17"/>
    <w:link w:val="12"/>
    <w:semiHidden/>
    <w:qFormat/>
    <w:uiPriority w:val="99"/>
    <w:rPr>
      <w:sz w:val="18"/>
      <w:szCs w:val="18"/>
    </w:rPr>
  </w:style>
  <w:style w:type="character" w:customStyle="1" w:styleId="31">
    <w:name w:val="正文文本缩进 3 Char"/>
    <w:basedOn w:val="17"/>
    <w:link w:val="13"/>
    <w:semiHidden/>
    <w:qFormat/>
    <w:uiPriority w:val="99"/>
    <w:rPr>
      <w:sz w:val="16"/>
      <w:szCs w:val="16"/>
    </w:rPr>
  </w:style>
  <w:style w:type="paragraph" w:customStyle="1" w:styleId="32">
    <w:name w:val="Char Char Char Char Char Char Char"/>
    <w:basedOn w:val="1"/>
    <w:qFormat/>
    <w:uiPriority w:val="99"/>
    <w:pPr>
      <w:tabs>
        <w:tab w:val="left" w:pos="720"/>
      </w:tabs>
      <w:ind w:left="720" w:hanging="720"/>
    </w:pPr>
    <w:rPr>
      <w:sz w:val="24"/>
    </w:rPr>
  </w:style>
  <w:style w:type="paragraph" w:customStyle="1" w:styleId="33">
    <w:name w:val="Char"/>
    <w:basedOn w:val="1"/>
    <w:qFormat/>
    <w:uiPriority w:val="99"/>
    <w:rPr>
      <w:szCs w:val="20"/>
    </w:rPr>
  </w:style>
  <w:style w:type="paragraph" w:customStyle="1" w:styleId="34">
    <w:name w:val="List Paragraph1"/>
    <w:basedOn w:val="1"/>
    <w:qFormat/>
    <w:uiPriority w:val="99"/>
    <w:pPr>
      <w:ind w:firstLine="420" w:firstLineChars="200"/>
    </w:pPr>
  </w:style>
  <w:style w:type="paragraph" w:customStyle="1" w:styleId="35">
    <w:name w:val="果正文"/>
    <w:basedOn w:val="1"/>
    <w:qFormat/>
    <w:uiPriority w:val="99"/>
    <w:pPr>
      <w:tabs>
        <w:tab w:val="left" w:pos="1800"/>
      </w:tabs>
      <w:ind w:firstLine="544" w:firstLineChars="200"/>
    </w:pPr>
    <w:rPr>
      <w:rFonts w:ascii="仿宋_GB2312" w:eastAsia="仿宋_GB2312"/>
      <w:spacing w:val="-4"/>
      <w:sz w:val="28"/>
      <w:szCs w:val="20"/>
    </w:rPr>
  </w:style>
  <w:style w:type="paragraph" w:styleId="3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wenyin</Company>
  <Pages>1</Pages>
  <Words>236</Words>
  <Characters>1351</Characters>
  <Lines>11</Lines>
  <Paragraphs>3</Paragraphs>
  <TotalTime>4</TotalTime>
  <ScaleCrop>false</ScaleCrop>
  <LinksUpToDate>false</LinksUpToDate>
  <CharactersWithSpaces>1584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2020-11-01T11:33:00Z</dcterms:created>
  <dc:creator>qiuyue</dc:creator>
  <cp:lastModifiedBy>武岚</cp:lastModifiedBy>
  <cp:lastPrinted>2020-11-12T06:46:00Z</cp:lastPrinted>
  <dcterms:modified xsi:type="dcterms:W3CDTF">2020-11-16T09:48:56Z</dcterms:modified>
  <dc:title>首医大校教字[2003]2号</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