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adjustRightInd w:val="0"/>
        <w:snapToGrid w:val="0"/>
        <w:rPr>
          <w:rFonts w:hint="eastAsia" w:ascii="黑体" w:hAnsi="黑体" w:eastAsia="黑体" w:cs="方正小标宋简体"/>
          <w:sz w:val="28"/>
          <w:szCs w:val="40"/>
          <w:lang w:val="en-US" w:eastAsia="zh-CN"/>
        </w:rPr>
      </w:pPr>
      <w:r>
        <w:rPr>
          <w:rFonts w:hint="eastAsia" w:ascii="黑体" w:hAnsi="黑体" w:eastAsia="黑体" w:cs="方正小标宋简体"/>
          <w:sz w:val="28"/>
          <w:szCs w:val="40"/>
        </w:rPr>
        <w:t>附件</w:t>
      </w:r>
      <w:r>
        <w:rPr>
          <w:rFonts w:hint="eastAsia" w:ascii="黑体" w:hAnsi="黑体" w:eastAsia="黑体" w:cs="方正小标宋简体"/>
          <w:sz w:val="28"/>
          <w:szCs w:val="40"/>
          <w:lang w:val="en-US" w:eastAsia="zh-CN"/>
        </w:rPr>
        <w:t>1</w:t>
      </w:r>
    </w:p>
    <w:p>
      <w:pPr>
        <w:pStyle w:val="7"/>
        <w:adjustRightInd w:val="0"/>
        <w:snapToGrid w:val="0"/>
        <w:jc w:val="center"/>
        <w:rPr>
          <w:rFonts w:ascii="方正小标宋简体" w:hAnsi="方正小标宋简体" w:eastAsia="方正小标宋简体" w:cs="方正小标宋简体"/>
          <w:sz w:val="44"/>
          <w:szCs w:val="44"/>
        </w:rPr>
      </w:pPr>
    </w:p>
    <w:p>
      <w:pPr>
        <w:pStyle w:val="7"/>
        <w:adjustRightInd w:val="0"/>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首都医科大学国家医疗保障研究院</w:t>
      </w:r>
    </w:p>
    <w:p>
      <w:pPr>
        <w:pStyle w:val="7"/>
        <w:adjustRightInd w:val="0"/>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开放性课题项目申报指南</w:t>
      </w:r>
    </w:p>
    <w:p>
      <w:pPr>
        <w:adjustRightInd w:val="0"/>
        <w:snapToGrid w:val="0"/>
        <w:spacing w:line="588" w:lineRule="exact"/>
        <w:ind w:firstLine="622" w:firstLineChars="200"/>
        <w:rPr>
          <w:rFonts w:ascii="仿宋_GB2312" w:hAnsi="黑体" w:eastAsia="仿宋_GB2312" w:cs="黑体"/>
          <w:sz w:val="32"/>
          <w:szCs w:val="32"/>
        </w:rPr>
      </w:pPr>
    </w:p>
    <w:p>
      <w:pPr>
        <w:adjustRightInd w:val="0"/>
        <w:snapToGrid w:val="0"/>
        <w:spacing w:line="588" w:lineRule="exact"/>
        <w:ind w:firstLine="622" w:firstLineChars="200"/>
        <w:rPr>
          <w:rFonts w:ascii="黑体" w:hAnsi="黑体" w:eastAsia="黑体" w:cs="黑体"/>
          <w:sz w:val="32"/>
          <w:szCs w:val="32"/>
        </w:rPr>
      </w:pPr>
      <w:r>
        <w:rPr>
          <w:rFonts w:hint="eastAsia" w:ascii="黑体" w:hAnsi="黑体" w:eastAsia="黑体" w:cs="黑体"/>
          <w:sz w:val="32"/>
          <w:szCs w:val="32"/>
        </w:rPr>
        <w:t>一、总体目标</w:t>
      </w:r>
    </w:p>
    <w:p>
      <w:pPr>
        <w:spacing w:line="588" w:lineRule="exact"/>
        <w:rPr>
          <w:rFonts w:ascii="仿宋_GB2312" w:hAnsi="仿宋" w:eastAsia="仿宋_GB2312" w:cs="仿宋"/>
          <w:sz w:val="32"/>
          <w:szCs w:val="32"/>
        </w:rPr>
      </w:pPr>
      <w:r>
        <w:rPr>
          <w:rFonts w:hint="eastAsia" w:ascii="仿宋_GB2312" w:hAnsi="仿宋" w:eastAsia="仿宋_GB2312" w:cs="仿宋"/>
          <w:sz w:val="32"/>
          <w:szCs w:val="32"/>
        </w:rPr>
        <w:t xml:space="preserve">    贯彻落实《中共中央</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国务院关于深化医疗保障制度改革的意见》，促进我国医疗保</w:t>
      </w:r>
      <w:r>
        <w:rPr>
          <w:rFonts w:hint="eastAsia" w:ascii="仿宋_GB2312" w:hAnsi="仿宋" w:eastAsia="仿宋_GB2312" w:cs="仿宋"/>
          <w:sz w:val="32"/>
          <w:szCs w:val="32"/>
          <w:lang w:val="en-US" w:eastAsia="zh-CN"/>
        </w:rPr>
        <w:t>障</w:t>
      </w:r>
      <w:r>
        <w:rPr>
          <w:rFonts w:hint="eastAsia" w:ascii="仿宋_GB2312" w:hAnsi="仿宋" w:eastAsia="仿宋_GB2312" w:cs="仿宋"/>
          <w:sz w:val="32"/>
          <w:szCs w:val="32"/>
        </w:rPr>
        <w:t>事业的协调、可持续、快速发展和卫生健康服务体系的日臻完善，保障人民群众的健康。根据《首都医科大学国家医疗保障研究院开放性课题项目管理办法（试行）》，推动我国医疗保</w:t>
      </w:r>
      <w:r>
        <w:rPr>
          <w:rFonts w:hint="eastAsia" w:ascii="仿宋_GB2312" w:hAnsi="仿宋" w:eastAsia="仿宋_GB2312" w:cs="仿宋"/>
          <w:sz w:val="32"/>
          <w:szCs w:val="32"/>
          <w:lang w:val="en-US" w:eastAsia="zh-CN"/>
        </w:rPr>
        <w:t>障</w:t>
      </w:r>
      <w:r>
        <w:rPr>
          <w:rFonts w:hint="eastAsia" w:ascii="仿宋_GB2312" w:hAnsi="仿宋" w:eastAsia="仿宋_GB2312" w:cs="仿宋"/>
          <w:sz w:val="32"/>
          <w:szCs w:val="32"/>
        </w:rPr>
        <w:t>领域的基础理论研究、应用研究，以及医疗保</w:t>
      </w:r>
      <w:r>
        <w:rPr>
          <w:rFonts w:hint="eastAsia" w:ascii="仿宋_GB2312" w:hAnsi="仿宋" w:eastAsia="仿宋_GB2312" w:cs="仿宋"/>
          <w:sz w:val="32"/>
          <w:szCs w:val="32"/>
          <w:lang w:val="en-US" w:eastAsia="zh-CN"/>
        </w:rPr>
        <w:t>障</w:t>
      </w:r>
      <w:r>
        <w:rPr>
          <w:rFonts w:hint="eastAsia" w:ascii="仿宋_GB2312" w:hAnsi="仿宋" w:eastAsia="仿宋_GB2312" w:cs="仿宋"/>
          <w:sz w:val="32"/>
          <w:szCs w:val="32"/>
        </w:rPr>
        <w:t>学科建设、专业建设、人才培养等工作，提升医疗保障系统工作能力和水平。</w:t>
      </w:r>
    </w:p>
    <w:p>
      <w:pPr>
        <w:adjustRightInd w:val="0"/>
        <w:snapToGrid w:val="0"/>
        <w:spacing w:line="588" w:lineRule="exact"/>
        <w:ind w:firstLine="622" w:firstLineChars="200"/>
        <w:rPr>
          <w:rFonts w:ascii="黑体" w:hAnsi="黑体" w:eastAsia="黑体" w:cs="黑体"/>
          <w:sz w:val="32"/>
          <w:szCs w:val="32"/>
        </w:rPr>
      </w:pPr>
      <w:r>
        <w:rPr>
          <w:rFonts w:hint="eastAsia" w:ascii="黑体" w:hAnsi="黑体" w:eastAsia="黑体" w:cs="黑体"/>
          <w:sz w:val="32"/>
          <w:szCs w:val="32"/>
        </w:rPr>
        <w:t>二、研究周期</w:t>
      </w:r>
    </w:p>
    <w:p>
      <w:pPr>
        <w:adjustRightInd w:val="0"/>
        <w:snapToGrid w:val="0"/>
        <w:spacing w:line="588" w:lineRule="exact"/>
        <w:ind w:firstLine="622" w:firstLineChars="200"/>
        <w:rPr>
          <w:rFonts w:ascii="仿宋_GB2312" w:hAnsi="仿宋" w:eastAsia="仿宋_GB2312" w:cs="仿宋"/>
          <w:color w:val="0000FF"/>
          <w:sz w:val="32"/>
          <w:szCs w:val="32"/>
        </w:rPr>
      </w:pPr>
      <w:r>
        <w:rPr>
          <w:rFonts w:hint="eastAsia" w:ascii="仿宋_GB2312" w:hAnsi="仿宋" w:eastAsia="仿宋_GB2312" w:cs="仿宋"/>
          <w:color w:val="0000FF"/>
          <w:sz w:val="32"/>
          <w:szCs w:val="32"/>
        </w:rPr>
        <w:t>研究周期为一年，</w:t>
      </w:r>
      <w:r>
        <w:rPr>
          <w:rFonts w:hint="eastAsia" w:ascii="仿宋_GB2312" w:hAnsi="仿宋" w:eastAsia="仿宋_GB2312" w:cs="仿宋"/>
          <w:color w:val="0000FF"/>
          <w:sz w:val="32"/>
          <w:szCs w:val="32"/>
          <w:lang w:val="en-US" w:eastAsia="zh-CN"/>
        </w:rPr>
        <w:t>自课题立项通</w:t>
      </w:r>
      <w:bookmarkStart w:id="0" w:name="_GoBack"/>
      <w:bookmarkEnd w:id="0"/>
      <w:r>
        <w:rPr>
          <w:rFonts w:hint="eastAsia" w:ascii="仿宋_GB2312" w:hAnsi="仿宋" w:eastAsia="仿宋_GB2312" w:cs="仿宋"/>
          <w:color w:val="0000FF"/>
          <w:sz w:val="32"/>
          <w:szCs w:val="32"/>
          <w:lang w:val="en-US" w:eastAsia="zh-CN"/>
        </w:rPr>
        <w:t>知正式发布之日算起</w:t>
      </w:r>
      <w:r>
        <w:rPr>
          <w:rFonts w:hint="eastAsia" w:ascii="仿宋_GB2312" w:hAnsi="仿宋" w:eastAsia="仿宋_GB2312" w:cs="仿宋"/>
          <w:color w:val="0000FF"/>
          <w:sz w:val="32"/>
          <w:szCs w:val="32"/>
        </w:rPr>
        <w:t>。</w:t>
      </w:r>
    </w:p>
    <w:p>
      <w:pPr>
        <w:adjustRightInd w:val="0"/>
        <w:snapToGrid w:val="0"/>
        <w:spacing w:line="588" w:lineRule="exact"/>
        <w:ind w:firstLine="622" w:firstLineChars="200"/>
        <w:rPr>
          <w:rFonts w:ascii="黑体" w:hAnsi="黑体" w:eastAsia="黑体" w:cs="黑体"/>
          <w:sz w:val="32"/>
          <w:szCs w:val="32"/>
        </w:rPr>
      </w:pPr>
      <w:r>
        <w:rPr>
          <w:rFonts w:hint="eastAsia" w:ascii="黑体" w:hAnsi="黑体" w:eastAsia="黑体" w:cs="黑体"/>
          <w:sz w:val="32"/>
          <w:szCs w:val="32"/>
        </w:rPr>
        <w:t>三、申报指南</w:t>
      </w:r>
    </w:p>
    <w:p>
      <w:pPr>
        <w:adjustRightInd w:val="0"/>
        <w:snapToGrid w:val="0"/>
        <w:spacing w:line="588" w:lineRule="exact"/>
        <w:ind w:firstLine="610" w:firstLineChars="196"/>
        <w:rPr>
          <w:rFonts w:ascii="楷体_GB2312" w:hAnsi="楷体" w:eastAsia="楷体_GB2312" w:cs="楷体"/>
          <w:bCs/>
          <w:sz w:val="32"/>
          <w:szCs w:val="32"/>
        </w:rPr>
      </w:pPr>
      <w:r>
        <w:rPr>
          <w:rFonts w:hint="eastAsia" w:ascii="楷体_GB2312" w:hAnsi="楷体" w:eastAsia="楷体_GB2312" w:cs="楷体"/>
          <w:bCs/>
          <w:sz w:val="32"/>
          <w:szCs w:val="32"/>
        </w:rPr>
        <w:t>（一）重点项目</w:t>
      </w:r>
    </w:p>
    <w:p>
      <w:pPr>
        <w:adjustRightInd w:val="0"/>
        <w:snapToGrid w:val="0"/>
        <w:spacing w:line="560" w:lineRule="exact"/>
        <w:ind w:firstLine="607" w:firstLineChars="195"/>
        <w:rPr>
          <w:rFonts w:hint="eastAsia" w:ascii="仿宋_GB2312" w:hAnsi="仿宋" w:eastAsia="仿宋_GB2312" w:cs="仿宋"/>
          <w:b/>
          <w:bCs/>
          <w:sz w:val="32"/>
          <w:szCs w:val="32"/>
        </w:rPr>
      </w:pPr>
      <w:r>
        <w:rPr>
          <w:rFonts w:hint="eastAsia" w:ascii="仿宋_GB2312" w:hAnsi="仿宋" w:eastAsia="仿宋_GB2312" w:cs="仿宋"/>
          <w:b/>
          <w:bCs/>
          <w:sz w:val="32"/>
          <w:szCs w:val="32"/>
          <w:lang w:val="en-US" w:eastAsia="zh-CN"/>
        </w:rPr>
        <w:t>1.</w:t>
      </w:r>
      <w:r>
        <w:rPr>
          <w:rFonts w:hint="eastAsia" w:ascii="仿宋_GB2312" w:hAnsi="仿宋" w:eastAsia="仿宋_GB2312" w:cs="仿宋"/>
          <w:b/>
          <w:bCs/>
          <w:sz w:val="32"/>
          <w:szCs w:val="32"/>
        </w:rPr>
        <w:t>中国医保制度历史发展与展望</w:t>
      </w:r>
      <w:r>
        <w:rPr>
          <w:rFonts w:hint="eastAsia" w:ascii="仿宋_GB2312" w:hAnsi="仿宋" w:eastAsia="仿宋_GB2312" w:cs="仿宋"/>
          <w:b/>
          <w:bCs/>
          <w:sz w:val="32"/>
          <w:szCs w:val="32"/>
        </w:rPr>
        <w:tab/>
      </w:r>
    </w:p>
    <w:p>
      <w:pPr>
        <w:adjustRightInd w:val="0"/>
        <w:snapToGrid w:val="0"/>
        <w:spacing w:line="560" w:lineRule="exact"/>
        <w:ind w:firstLine="583" w:firstLineChars="195"/>
        <w:rPr>
          <w:rFonts w:hint="eastAsia" w:ascii="仿宋_GB2312" w:hAnsi="仿宋" w:eastAsia="仿宋_GB2312" w:cs="仿宋"/>
          <w:spacing w:val="-6"/>
          <w:sz w:val="32"/>
          <w:szCs w:val="32"/>
        </w:rPr>
      </w:pPr>
      <w:r>
        <w:rPr>
          <w:rFonts w:hint="eastAsia" w:ascii="仿宋_GB2312" w:hAnsi="仿宋" w:eastAsia="仿宋_GB2312" w:cs="仿宋"/>
          <w:spacing w:val="-6"/>
          <w:sz w:val="32"/>
          <w:szCs w:val="32"/>
        </w:rPr>
        <w:t>主要梳理建党以来</w:t>
      </w:r>
      <w:r>
        <w:rPr>
          <w:rFonts w:hint="eastAsia" w:ascii="仿宋_GB2312" w:hAnsi="仿宋" w:eastAsia="仿宋_GB2312" w:cs="仿宋"/>
          <w:spacing w:val="-6"/>
          <w:sz w:val="32"/>
          <w:szCs w:val="32"/>
          <w:lang w:val="en-US" w:eastAsia="zh-CN"/>
        </w:rPr>
        <w:t>的</w:t>
      </w:r>
      <w:r>
        <w:rPr>
          <w:rFonts w:hint="eastAsia" w:ascii="仿宋_GB2312" w:hAnsi="仿宋" w:eastAsia="仿宋_GB2312" w:cs="仿宋"/>
          <w:spacing w:val="-6"/>
          <w:sz w:val="32"/>
          <w:szCs w:val="32"/>
        </w:rPr>
        <w:t>中国医疗保障制度发展历史</w:t>
      </w:r>
      <w:r>
        <w:rPr>
          <w:rFonts w:hint="eastAsia" w:ascii="仿宋_GB2312" w:hAnsi="仿宋" w:eastAsia="仿宋_GB2312" w:cs="仿宋"/>
          <w:spacing w:val="-6"/>
          <w:sz w:val="32"/>
          <w:szCs w:val="32"/>
          <w:lang w:eastAsia="zh-CN"/>
        </w:rPr>
        <w:t>、</w:t>
      </w:r>
      <w:r>
        <w:rPr>
          <w:rFonts w:hint="eastAsia" w:ascii="仿宋_GB2312" w:hAnsi="仿宋" w:eastAsia="仿宋_GB2312" w:cs="仿宋"/>
          <w:spacing w:val="-6"/>
          <w:sz w:val="32"/>
          <w:szCs w:val="32"/>
        </w:rPr>
        <w:t>关键事件、关键政策、关键节点等，重点梳理国家医疗保障局成立以来我国医疗保障改革与制度建设的重大进展，</w:t>
      </w:r>
      <w:r>
        <w:rPr>
          <w:rFonts w:hint="eastAsia" w:ascii="仿宋_GB2312" w:hAnsi="仿宋" w:eastAsia="仿宋_GB2312" w:cs="仿宋"/>
          <w:spacing w:val="-6"/>
          <w:sz w:val="32"/>
          <w:szCs w:val="32"/>
          <w:lang w:val="en-US" w:eastAsia="zh-CN"/>
        </w:rPr>
        <w:t>并</w:t>
      </w:r>
      <w:r>
        <w:rPr>
          <w:rFonts w:hint="eastAsia" w:ascii="仿宋_GB2312" w:hAnsi="仿宋" w:eastAsia="仿宋_GB2312" w:cs="仿宋"/>
          <w:spacing w:val="-6"/>
          <w:sz w:val="32"/>
          <w:szCs w:val="32"/>
        </w:rPr>
        <w:t>进一步提出深化改革的建议。</w:t>
      </w:r>
    </w:p>
    <w:p>
      <w:pPr>
        <w:adjustRightInd w:val="0"/>
        <w:snapToGrid w:val="0"/>
        <w:spacing w:line="560" w:lineRule="exact"/>
        <w:ind w:firstLine="607" w:firstLineChars="195"/>
        <w:rPr>
          <w:rFonts w:hint="eastAsia" w:ascii="仿宋_GB2312" w:hAnsi="仿宋" w:eastAsia="仿宋_GB2312" w:cs="仿宋"/>
          <w:b/>
          <w:bCs/>
          <w:sz w:val="32"/>
          <w:szCs w:val="32"/>
        </w:rPr>
      </w:pPr>
      <w:r>
        <w:rPr>
          <w:rFonts w:hint="eastAsia" w:ascii="仿宋_GB2312" w:hAnsi="仿宋" w:eastAsia="仿宋_GB2312" w:cs="仿宋"/>
          <w:b/>
          <w:bCs/>
          <w:sz w:val="32"/>
          <w:szCs w:val="32"/>
          <w:lang w:val="en-US" w:eastAsia="zh-CN"/>
        </w:rPr>
        <w:t>2.</w:t>
      </w:r>
      <w:r>
        <w:rPr>
          <w:rFonts w:hint="eastAsia" w:ascii="仿宋_GB2312" w:hAnsi="仿宋" w:eastAsia="仿宋_GB2312" w:cs="仿宋"/>
          <w:b/>
          <w:bCs/>
          <w:sz w:val="32"/>
          <w:szCs w:val="32"/>
        </w:rPr>
        <w:t>面向医疗保障高质量发展的经办管理服务体系构建研究</w:t>
      </w:r>
    </w:p>
    <w:p>
      <w:pPr>
        <w:adjustRightInd w:val="0"/>
        <w:snapToGrid w:val="0"/>
        <w:spacing w:line="560" w:lineRule="exact"/>
        <w:ind w:firstLine="607" w:firstLineChars="195"/>
        <w:rPr>
          <w:rFonts w:hint="eastAsia" w:ascii="仿宋_GB2312" w:hAnsi="仿宋" w:eastAsia="仿宋_GB2312" w:cs="仿宋"/>
          <w:sz w:val="32"/>
          <w:szCs w:val="32"/>
        </w:rPr>
      </w:pPr>
      <w:r>
        <w:rPr>
          <w:rFonts w:hint="eastAsia" w:ascii="仿宋_GB2312" w:hAnsi="仿宋" w:eastAsia="仿宋_GB2312" w:cs="仿宋"/>
          <w:sz w:val="32"/>
          <w:szCs w:val="32"/>
        </w:rPr>
        <w:t>经办管理服务体系是服务参保人的最后一公里，结合新时代、新发展对建设有中国特色的医疗保障经办管理服务体系提出的新要求、新目标，研究如何使经办管理服务体系更好的适应深化医疗保障制度改革发展，从宏观、中观和微观视角出发，以创新驱动管理，着力解决医保经办管理体系建设的突出矛盾和突出问题，保障医保高质量发展。</w:t>
      </w:r>
    </w:p>
    <w:p>
      <w:pPr>
        <w:adjustRightInd w:val="0"/>
        <w:snapToGrid w:val="0"/>
        <w:spacing w:line="588" w:lineRule="exact"/>
        <w:ind w:firstLine="610" w:firstLineChars="196"/>
        <w:rPr>
          <w:rFonts w:ascii="楷体_GB2312" w:hAnsi="楷体" w:eastAsia="楷体_GB2312" w:cs="楷体"/>
          <w:bCs/>
          <w:sz w:val="32"/>
          <w:szCs w:val="32"/>
        </w:rPr>
      </w:pPr>
      <w:r>
        <w:rPr>
          <w:rFonts w:hint="eastAsia" w:ascii="楷体_GB2312" w:hAnsi="楷体" w:eastAsia="楷体_GB2312" w:cs="楷体"/>
          <w:bCs/>
          <w:sz w:val="32"/>
          <w:szCs w:val="32"/>
        </w:rPr>
        <w:t>（二）面上项目</w:t>
      </w:r>
    </w:p>
    <w:p>
      <w:pPr>
        <w:adjustRightInd w:val="0"/>
        <w:snapToGrid w:val="0"/>
        <w:spacing w:line="560" w:lineRule="exact"/>
        <w:ind w:firstLine="607" w:firstLineChars="195"/>
        <w:rPr>
          <w:rFonts w:hint="eastAsia" w:ascii="仿宋_GB2312" w:hAnsi="仿宋" w:eastAsia="仿宋_GB2312" w:cs="仿宋"/>
          <w:b/>
          <w:bCs/>
          <w:sz w:val="32"/>
          <w:szCs w:val="32"/>
        </w:rPr>
      </w:pPr>
      <w:r>
        <w:rPr>
          <w:rFonts w:hint="eastAsia" w:ascii="仿宋_GB2312" w:hAnsi="仿宋" w:eastAsia="仿宋_GB2312" w:cs="仿宋"/>
          <w:b/>
          <w:bCs w:val="0"/>
          <w:sz w:val="32"/>
          <w:szCs w:val="32"/>
          <w:lang w:val="en-US" w:eastAsia="zh-CN"/>
        </w:rPr>
        <w:t>1.</w:t>
      </w:r>
      <w:r>
        <w:rPr>
          <w:rFonts w:hint="eastAsia" w:ascii="仿宋_GB2312" w:hAnsi="仿宋" w:eastAsia="仿宋_GB2312" w:cs="仿宋"/>
          <w:b/>
          <w:bCs/>
          <w:sz w:val="32"/>
          <w:szCs w:val="32"/>
        </w:rPr>
        <w:t>医保信用体系建设效果评价</w:t>
      </w:r>
      <w:r>
        <w:rPr>
          <w:rFonts w:hint="eastAsia" w:ascii="仿宋_GB2312" w:hAnsi="仿宋" w:eastAsia="仿宋_GB2312" w:cs="仿宋"/>
          <w:b/>
          <w:bCs/>
          <w:sz w:val="32"/>
          <w:szCs w:val="32"/>
        </w:rPr>
        <w:tab/>
      </w:r>
    </w:p>
    <w:p>
      <w:pPr>
        <w:adjustRightInd w:val="0"/>
        <w:snapToGrid w:val="0"/>
        <w:spacing w:line="560" w:lineRule="exact"/>
        <w:ind w:firstLine="607" w:firstLineChars="195"/>
        <w:rPr>
          <w:rFonts w:hint="eastAsia" w:ascii="仿宋_GB2312" w:hAnsi="仿宋" w:eastAsia="仿宋_GB2312" w:cs="仿宋"/>
          <w:sz w:val="32"/>
          <w:szCs w:val="32"/>
        </w:rPr>
      </w:pPr>
      <w:r>
        <w:rPr>
          <w:rFonts w:hint="eastAsia" w:ascii="仿宋_GB2312" w:hAnsi="仿宋" w:eastAsia="仿宋_GB2312" w:cs="仿宋"/>
          <w:sz w:val="32"/>
          <w:szCs w:val="32"/>
        </w:rPr>
        <w:t>以医保信用体系建设试点总结评估为基础，重点挖掘试点地区可借鉴、可复制、可推广的经验、模式和亮点，结合国家有关社会信用体系建设的总体要求以及全国医保基金监管的大背景、大趋势，提出全国医保领域信用体系建设的目标、原则、基本模式、工作要点和推进步骤，为国家医保局研究部署医保信用体系建设提供具有实际价值的参考。</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2.</w:t>
      </w:r>
      <w:r>
        <w:rPr>
          <w:rFonts w:hint="eastAsia" w:ascii="仿宋_GB2312" w:hAnsi="仿宋" w:eastAsia="仿宋_GB2312" w:cs="仿宋"/>
          <w:b/>
          <w:bCs w:val="0"/>
          <w:sz w:val="32"/>
          <w:szCs w:val="32"/>
        </w:rPr>
        <w:t>医疗改革与医保管理协同机制研究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主要研究医保、医疗、医药三医联动实施的总体思路和框架，探讨三医知识图谱的构建方法和使用模型，医疗服务项目和医药的价格形成传导机制，医院、医生、药店及参保人的信用评估方法和模型。</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3.</w:t>
      </w:r>
      <w:r>
        <w:rPr>
          <w:rFonts w:hint="eastAsia" w:ascii="仿宋_GB2312" w:hAnsi="仿宋" w:eastAsia="仿宋_GB2312" w:cs="仿宋"/>
          <w:b/>
          <w:bCs w:val="0"/>
          <w:sz w:val="32"/>
          <w:szCs w:val="32"/>
        </w:rPr>
        <w:t>医保运行统计分析体系研究</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基于统计学前沿理论和方法，结合医保信息化、标准化建设等背景，开展医保运行统计分析体系研究。</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4.</w:t>
      </w:r>
      <w:r>
        <w:rPr>
          <w:rFonts w:hint="eastAsia" w:ascii="仿宋_GB2312" w:hAnsi="仿宋" w:eastAsia="仿宋_GB2312" w:cs="仿宋"/>
          <w:b/>
          <w:bCs w:val="0"/>
          <w:sz w:val="32"/>
          <w:szCs w:val="32"/>
        </w:rPr>
        <w:t>DIP监管辅助目录应用研究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结合DIP技术规范相关要求，对疾病严重程度辅助目录、违规行为监管辅助目录的应用进行研究，作为完善DIP支付和监管一体化机制的有力支撑。</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5.</w:t>
      </w:r>
      <w:r>
        <w:rPr>
          <w:rFonts w:hint="eastAsia" w:ascii="仿宋_GB2312" w:hAnsi="仿宋" w:eastAsia="仿宋_GB2312" w:cs="仿宋"/>
          <w:b/>
          <w:bCs w:val="0"/>
          <w:sz w:val="32"/>
          <w:szCs w:val="32"/>
        </w:rPr>
        <w:t>中药饮片（颗粒剂）智慧医保关键技术研究</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基于DIP改革的不断深化和中药饮片（颗粒剂）乱象，开展中药饮片价格监管工具研究，为监管部门和医院对中药处方的实时监管提供信息支持。</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6.</w:t>
      </w:r>
      <w:r>
        <w:rPr>
          <w:rFonts w:hint="eastAsia" w:ascii="仿宋_GB2312" w:hAnsi="仿宋" w:eastAsia="仿宋_GB2312" w:cs="仿宋"/>
          <w:b/>
          <w:bCs w:val="0"/>
          <w:sz w:val="32"/>
          <w:szCs w:val="32"/>
        </w:rPr>
        <w:t>医保门诊共济按人头付费方式在不同医疗服务供给模式下的应用研究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主要研究医保按人头付费支付方式在门诊共济改革中的地位，理清其定义、内涵、应用条件和发展趋势，提出在门诊共济保障改革中医保按人头付费具体方式的操作要点，为各地开展和深化门诊共济保障改革提供借鉴和参考。</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7.</w:t>
      </w:r>
      <w:r>
        <w:rPr>
          <w:rFonts w:hint="eastAsia" w:ascii="仿宋_GB2312" w:hAnsi="仿宋" w:eastAsia="仿宋_GB2312" w:cs="仿宋"/>
          <w:b/>
          <w:bCs w:val="0"/>
          <w:sz w:val="32"/>
          <w:szCs w:val="32"/>
        </w:rPr>
        <w:t>药品评审要点研究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主要研究药品评审要点</w:t>
      </w:r>
      <w:r>
        <w:rPr>
          <w:rFonts w:hint="eastAsia" w:ascii="仿宋_GB2312" w:hAnsi="仿宋" w:eastAsia="仿宋_GB2312" w:cs="仿宋"/>
          <w:bCs/>
          <w:sz w:val="32"/>
          <w:szCs w:val="32"/>
          <w:lang w:eastAsia="zh-CN"/>
        </w:rPr>
        <w:t>，</w:t>
      </w:r>
      <w:r>
        <w:rPr>
          <w:rFonts w:hint="eastAsia" w:ascii="仿宋_GB2312" w:hAnsi="仿宋" w:eastAsia="仿宋_GB2312" w:cs="仿宋"/>
          <w:bCs/>
          <w:sz w:val="32"/>
          <w:szCs w:val="32"/>
        </w:rPr>
        <w:t>为专家评审提供依据，推进药品评审工作的科学性与公平性。</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8.</w:t>
      </w:r>
      <w:r>
        <w:rPr>
          <w:rFonts w:hint="eastAsia" w:ascii="仿宋_GB2312" w:hAnsi="仿宋" w:eastAsia="仿宋_GB2312" w:cs="仿宋"/>
          <w:b/>
          <w:bCs w:val="0"/>
          <w:sz w:val="32"/>
          <w:szCs w:val="32"/>
        </w:rPr>
        <w:t>非正规就业人员、灵活就业人员的医疗保障政策研究</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针对新业态新模式等就业人员，根据其职业环境及收入特点，研究制定引导和激励其参加职工医保的适宜政策。</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9.</w:t>
      </w:r>
      <w:r>
        <w:rPr>
          <w:rFonts w:hint="eastAsia" w:ascii="仿宋_GB2312" w:hAnsi="仿宋" w:eastAsia="仿宋_GB2312" w:cs="仿宋"/>
          <w:b/>
          <w:bCs w:val="0"/>
          <w:sz w:val="32"/>
          <w:szCs w:val="32"/>
        </w:rPr>
        <w:t>医保筹资制度国际比较</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对日本、德国、韩国等典型国家和地区筹资制度进行比较分析,为完善我国医保筹资体制提供借鉴和参考。</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10.</w:t>
      </w:r>
      <w:r>
        <w:rPr>
          <w:rFonts w:hint="eastAsia" w:ascii="仿宋_GB2312" w:hAnsi="仿宋" w:eastAsia="仿宋_GB2312" w:cs="仿宋"/>
          <w:b/>
          <w:bCs w:val="0"/>
          <w:sz w:val="32"/>
          <w:szCs w:val="32"/>
        </w:rPr>
        <w:t>互联网医疗监管机制研究</w:t>
      </w:r>
      <w:r>
        <w:rPr>
          <w:rFonts w:hint="eastAsia" w:ascii="仿宋_GB2312" w:hAnsi="仿宋" w:eastAsia="仿宋_GB2312" w:cs="仿宋"/>
          <w:b/>
          <w:bCs w:val="0"/>
          <w:sz w:val="32"/>
          <w:szCs w:val="32"/>
        </w:rPr>
        <w:tab/>
      </w:r>
    </w:p>
    <w:p>
      <w:pPr>
        <w:adjustRightInd w:val="0"/>
        <w:snapToGrid w:val="0"/>
        <w:spacing w:line="588" w:lineRule="exact"/>
        <w:ind w:firstLine="622" w:firstLineChars="200"/>
        <w:rPr>
          <w:rFonts w:hint="eastAsia" w:ascii="仿宋_GB2312" w:hAnsi="仿宋" w:eastAsia="仿宋_GB2312" w:cs="仿宋"/>
          <w:bCs/>
          <w:sz w:val="32"/>
          <w:szCs w:val="32"/>
        </w:rPr>
      </w:pPr>
      <w:r>
        <w:rPr>
          <w:rFonts w:hint="eastAsia" w:ascii="仿宋_GB2312" w:hAnsi="仿宋" w:eastAsia="仿宋_GB2312" w:cs="仿宋"/>
          <w:bCs/>
          <w:sz w:val="32"/>
          <w:szCs w:val="32"/>
        </w:rPr>
        <w:t>针对目前互联网医疗使用过程中不规范的行为，研究提出监管措施和办法，规范互联网医疗的提供和使用。</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11.</w:t>
      </w:r>
      <w:r>
        <w:rPr>
          <w:rFonts w:hint="eastAsia" w:ascii="仿宋_GB2312" w:hAnsi="仿宋" w:eastAsia="仿宋_GB2312" w:cs="仿宋"/>
          <w:b/>
          <w:bCs w:val="0"/>
          <w:sz w:val="32"/>
          <w:szCs w:val="32"/>
        </w:rPr>
        <w:t>医疗互联网+医保支付研究</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系统研究互联网+医疗新技术、新模式与医保的融合发展路径，包括互联网医疗服务项目的医保价格形成机制、纳入医保支付体系的发展路径、相关配套支持系统等的运行效果及发展策略。</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12.</w:t>
      </w:r>
      <w:r>
        <w:rPr>
          <w:rFonts w:hint="eastAsia" w:ascii="仿宋_GB2312" w:hAnsi="仿宋" w:eastAsia="仿宋_GB2312" w:cs="仿宋"/>
          <w:b/>
          <w:bCs w:val="0"/>
          <w:sz w:val="32"/>
          <w:szCs w:val="32"/>
        </w:rPr>
        <w:t>价格招采角度助力中医药事业健康发展研究</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default" w:ascii="仿宋_GB2312" w:hAnsi="仿宋" w:eastAsia="仿宋_GB2312" w:cs="仿宋"/>
          <w:bCs/>
          <w:sz w:val="32"/>
          <w:szCs w:val="32"/>
          <w:lang w:val="en-US" w:eastAsia="zh-CN"/>
        </w:rPr>
      </w:pPr>
      <w:r>
        <w:rPr>
          <w:rFonts w:hint="eastAsia" w:ascii="仿宋_GB2312" w:hAnsi="仿宋" w:eastAsia="仿宋_GB2312" w:cs="仿宋"/>
          <w:bCs/>
          <w:sz w:val="32"/>
          <w:szCs w:val="32"/>
        </w:rPr>
        <w:t>研究提出中医类医疗服务价格调整建议</w:t>
      </w:r>
      <w:r>
        <w:rPr>
          <w:rFonts w:hint="eastAsia" w:ascii="仿宋_GB2312" w:hAnsi="仿宋" w:eastAsia="仿宋_GB2312" w:cs="仿宋"/>
          <w:bCs/>
          <w:sz w:val="32"/>
          <w:szCs w:val="32"/>
          <w:lang w:eastAsia="zh-CN"/>
        </w:rPr>
        <w:t>，</w:t>
      </w:r>
      <w:r>
        <w:rPr>
          <w:rFonts w:hint="eastAsia" w:ascii="仿宋_GB2312" w:hAnsi="仿宋" w:eastAsia="仿宋_GB2312" w:cs="仿宋"/>
          <w:bCs/>
          <w:sz w:val="32"/>
          <w:szCs w:val="32"/>
          <w:lang w:val="en-US" w:eastAsia="zh-CN"/>
        </w:rPr>
        <w:t>对已开展中成药集采的地区进行效果分析。</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13.</w:t>
      </w:r>
      <w:r>
        <w:rPr>
          <w:rFonts w:hint="eastAsia" w:ascii="仿宋_GB2312" w:hAnsi="仿宋" w:eastAsia="仿宋_GB2312" w:cs="仿宋"/>
          <w:b/>
          <w:bCs w:val="0"/>
          <w:sz w:val="32"/>
          <w:szCs w:val="32"/>
        </w:rPr>
        <w:t>医疗服务价格改革试点研究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探索“分类管理、多方参与、科学确定、动态调整”的价格形成机制，编写可操作性强的定调价手册，开展改革试点效果评估，总结推广经验。</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14.</w:t>
      </w:r>
      <w:r>
        <w:rPr>
          <w:rFonts w:hint="eastAsia" w:ascii="仿宋_GB2312" w:hAnsi="仿宋" w:eastAsia="仿宋_GB2312" w:cs="仿宋"/>
          <w:b/>
          <w:bCs w:val="0"/>
          <w:sz w:val="32"/>
          <w:szCs w:val="32"/>
        </w:rPr>
        <w:t>DIP医保经办管理研究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在DIP技术规范的基础上，对试点地区遇到的问题进行梳理分析，总结典型试点地区的实践做法并提炼可借鉴、可复制的经验，形成适用于医保经办机构的操作指南，为地方医保管理部门开展DIP试点工作提供指导。</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15.</w:t>
      </w:r>
      <w:r>
        <w:rPr>
          <w:rFonts w:hint="eastAsia" w:ascii="仿宋_GB2312" w:hAnsi="仿宋" w:eastAsia="仿宋_GB2312" w:cs="仿宋"/>
          <w:b/>
          <w:bCs w:val="0"/>
          <w:sz w:val="32"/>
          <w:szCs w:val="32"/>
        </w:rPr>
        <w:t>基于DIP分组分层的医疗质量管理</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在DIP技术规范的基础上，对试点地区典型医疗机构的的实践经验进行归纳提炼，形成适用于医疗机构的操作指南，促进DIP付费试点工作顺利推行。</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16.</w:t>
      </w:r>
      <w:r>
        <w:rPr>
          <w:rFonts w:hint="eastAsia" w:ascii="仿宋_GB2312" w:hAnsi="仿宋" w:eastAsia="仿宋_GB2312" w:cs="仿宋"/>
          <w:b/>
          <w:bCs w:val="0"/>
          <w:sz w:val="32"/>
          <w:szCs w:val="32"/>
        </w:rPr>
        <w:t>基于DIP的医保服务质量评价体系研究</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通过对医疗机构开展基于DIP的实施效果评价，基于病种的角度，对定点医疗机构医保管理、服务能力、群众满意度等进行排名分析，形成医疗机构服务能力综合分析等报告，推动建立评价结果与医保基金支付挂钩，建立对定点医疗机构实行动态管理的一套评价体系。</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17.</w:t>
      </w:r>
      <w:r>
        <w:rPr>
          <w:rFonts w:hint="eastAsia" w:ascii="仿宋_GB2312" w:hAnsi="仿宋" w:eastAsia="仿宋_GB2312" w:cs="仿宋"/>
          <w:b/>
          <w:bCs w:val="0"/>
          <w:sz w:val="32"/>
          <w:szCs w:val="32"/>
        </w:rPr>
        <w:t>各地门诊待遇保障政策梳理、现状及规范化研究</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收集和梳理各省份各统筹区职工医保和居民医保普通门诊、门诊慢特病报销政策，并针对门诊保障政策的关键环节提出规范化的建议，为更好更快推进门诊异地就医直接结算提供决策支持。</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18.</w:t>
      </w:r>
      <w:r>
        <w:rPr>
          <w:rFonts w:hint="eastAsia" w:ascii="仿宋_GB2312" w:hAnsi="仿宋" w:eastAsia="仿宋_GB2312" w:cs="仿宋"/>
          <w:b/>
          <w:bCs w:val="0"/>
          <w:sz w:val="32"/>
          <w:szCs w:val="32"/>
        </w:rPr>
        <w:t>全民参保计划实施对策及路径研究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十四五期间是实现应参尽参、应保尽保，稳步推进参保扩面、提升参保质量的关键五年，通过研究确定参保面重点人群，消除重复参保、断保、漏保等问题，从参保流程规范、健全参保数据库、加强信息化建设和参保宣传引导等方面提出落实全民参保计划的对策及实施路径。</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19.</w:t>
      </w:r>
      <w:r>
        <w:rPr>
          <w:rFonts w:hint="eastAsia" w:ascii="仿宋_GB2312" w:hAnsi="仿宋" w:eastAsia="仿宋_GB2312" w:cs="仿宋"/>
          <w:b/>
          <w:bCs w:val="0"/>
          <w:sz w:val="32"/>
          <w:szCs w:val="32"/>
        </w:rPr>
        <w:t>“仿制药替代”国际经验和国内现状研究</w:t>
      </w:r>
      <w:r>
        <w:rPr>
          <w:rFonts w:hint="eastAsia" w:ascii="仿宋_GB2312" w:hAnsi="仿宋" w:eastAsia="仿宋_GB2312" w:cs="仿宋"/>
          <w:b/>
          <w:bCs w:val="0"/>
          <w:sz w:val="32"/>
          <w:szCs w:val="32"/>
        </w:rPr>
        <w:tab/>
      </w:r>
    </w:p>
    <w:p>
      <w:pPr>
        <w:adjustRightInd w:val="0"/>
        <w:snapToGrid w:val="0"/>
        <w:spacing w:line="588" w:lineRule="exact"/>
        <w:ind w:firstLine="583" w:firstLineChars="195"/>
        <w:rPr>
          <w:rFonts w:hint="eastAsia" w:ascii="仿宋_GB2312" w:hAnsi="仿宋" w:eastAsia="仿宋_GB2312" w:cs="仿宋"/>
          <w:bCs/>
          <w:spacing w:val="-6"/>
          <w:sz w:val="32"/>
          <w:szCs w:val="32"/>
        </w:rPr>
      </w:pPr>
      <w:r>
        <w:rPr>
          <w:rFonts w:hint="eastAsia" w:ascii="仿宋_GB2312" w:hAnsi="仿宋" w:eastAsia="仿宋_GB2312" w:cs="仿宋"/>
          <w:bCs/>
          <w:spacing w:val="-6"/>
          <w:sz w:val="32"/>
          <w:szCs w:val="32"/>
        </w:rPr>
        <w:t>主要梳理海外实施“仿制药替代”策略的经验做法，详细介绍典型国家“制药替代”做法和效果评价，研究国内“仿制药替代”基础条件和实施现状，提出促进我国“仿制药替代”的政策建议。</w:t>
      </w:r>
    </w:p>
    <w:p>
      <w:pPr>
        <w:adjustRightInd w:val="0"/>
        <w:snapToGrid w:val="0"/>
        <w:spacing w:line="560" w:lineRule="exact"/>
        <w:ind w:firstLine="607" w:firstLineChars="195"/>
        <w:rPr>
          <w:rFonts w:hint="eastAsia" w:ascii="仿宋_GB2312" w:hAnsi="仿宋" w:eastAsia="仿宋_GB2312" w:cs="仿宋"/>
          <w:b/>
          <w:bCs/>
          <w:sz w:val="32"/>
          <w:szCs w:val="32"/>
        </w:rPr>
      </w:pPr>
      <w:r>
        <w:rPr>
          <w:rFonts w:hint="eastAsia" w:ascii="仿宋_GB2312" w:hAnsi="仿宋" w:eastAsia="仿宋_GB2312" w:cs="仿宋"/>
          <w:b/>
          <w:bCs/>
          <w:sz w:val="32"/>
          <w:szCs w:val="32"/>
          <w:lang w:val="en-US" w:eastAsia="zh-CN"/>
        </w:rPr>
        <w:t>20.</w:t>
      </w:r>
      <w:r>
        <w:rPr>
          <w:rFonts w:hint="eastAsia" w:ascii="仿宋_GB2312" w:hAnsi="仿宋" w:eastAsia="仿宋_GB2312" w:cs="仿宋"/>
          <w:b/>
          <w:bCs/>
          <w:sz w:val="32"/>
          <w:szCs w:val="32"/>
        </w:rPr>
        <w:t>适应医疗保障新发展阶段的公立医院改革路径研究</w:t>
      </w:r>
    </w:p>
    <w:p>
      <w:pPr>
        <w:adjustRightInd w:val="0"/>
        <w:snapToGrid w:val="0"/>
        <w:spacing w:line="560" w:lineRule="exact"/>
        <w:ind w:firstLine="622" w:firstLineChars="200"/>
        <w:rPr>
          <w:rFonts w:hint="eastAsia" w:ascii="仿宋_GB2312" w:hAnsi="仿宋" w:eastAsia="仿宋_GB2312" w:cs="仿宋"/>
          <w:sz w:val="32"/>
          <w:szCs w:val="32"/>
        </w:rPr>
      </w:pPr>
      <w:r>
        <w:rPr>
          <w:rFonts w:hint="eastAsia" w:ascii="仿宋_GB2312" w:hAnsi="仿宋" w:eastAsia="仿宋_GB2312" w:cs="仿宋"/>
          <w:sz w:val="32"/>
          <w:szCs w:val="32"/>
        </w:rPr>
        <w:t>结合新发展阶段要求，按照“十四五”期间医疗保障高质量发展需要，研究适合医保发展的公立医院改革路径研究公立医院可行的改革路径，探讨医疗保障制度推动医药服务供给侧改革的思路举措。</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sz w:val="32"/>
          <w:szCs w:val="32"/>
          <w:lang w:val="en-US" w:eastAsia="zh-CN"/>
        </w:rPr>
        <w:t>21.</w:t>
      </w:r>
      <w:r>
        <w:rPr>
          <w:rFonts w:hint="eastAsia" w:ascii="仿宋_GB2312" w:hAnsi="仿宋" w:eastAsia="仿宋_GB2312" w:cs="仿宋"/>
          <w:b/>
          <w:bCs w:val="0"/>
          <w:sz w:val="32"/>
          <w:szCs w:val="32"/>
        </w:rPr>
        <w:t>基于平衡机制的医保基金预测方法研究</w:t>
      </w:r>
      <w:r>
        <w:rPr>
          <w:rFonts w:hint="eastAsia" w:ascii="仿宋_GB2312" w:hAnsi="仿宋" w:eastAsia="仿宋_GB2312" w:cs="仿宋"/>
          <w:b/>
          <w:bCs w:val="0"/>
          <w:sz w:val="32"/>
          <w:szCs w:val="32"/>
        </w:rPr>
        <w:tab/>
      </w:r>
    </w:p>
    <w:p>
      <w:pPr>
        <w:adjustRightInd w:val="0"/>
        <w:snapToGrid w:val="0"/>
        <w:spacing w:line="588" w:lineRule="exact"/>
        <w:ind w:firstLine="622" w:firstLineChars="200"/>
        <w:rPr>
          <w:rFonts w:hint="eastAsia" w:ascii="仿宋_GB2312" w:hAnsi="仿宋" w:eastAsia="仿宋_GB2312" w:cs="仿宋"/>
          <w:sz w:val="32"/>
          <w:szCs w:val="32"/>
        </w:rPr>
      </w:pPr>
      <w:r>
        <w:rPr>
          <w:rFonts w:hint="eastAsia" w:ascii="仿宋_GB2312" w:hAnsi="仿宋" w:eastAsia="仿宋_GB2312" w:cs="仿宋"/>
          <w:bCs/>
          <w:sz w:val="32"/>
          <w:szCs w:val="32"/>
        </w:rPr>
        <w:t>主要研究医保基金运行管理的总体思路、框架和调控工具，探讨基于平衡机制的医保基金预测方法。</w:t>
      </w:r>
    </w:p>
    <w:p>
      <w:pPr>
        <w:adjustRightInd w:val="0"/>
        <w:snapToGrid w:val="0"/>
        <w:spacing w:line="588" w:lineRule="exact"/>
        <w:ind w:firstLine="583" w:firstLineChars="195"/>
        <w:rPr>
          <w:rFonts w:hint="eastAsia" w:ascii="仿宋_GB2312" w:hAnsi="仿宋" w:eastAsia="仿宋_GB2312" w:cs="仿宋"/>
          <w:bCs/>
          <w:spacing w:val="-6"/>
          <w:sz w:val="32"/>
          <w:szCs w:val="32"/>
        </w:rPr>
      </w:pPr>
    </w:p>
    <w:sectPr>
      <w:footerReference r:id="rId3" w:type="default"/>
      <w:footerReference r:id="rId4" w:type="even"/>
      <w:pgSz w:w="11906" w:h="16838"/>
      <w:pgMar w:top="2098" w:right="1474" w:bottom="1985" w:left="1588" w:header="851" w:footer="1588" w:gutter="0"/>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1588" w:wrap="notBeside" w:vAnchor="text" w:hAnchor="margin" w:xAlign="outside" w:y="1"/>
      <w:ind w:firstLine="280" w:firstLineChars="100"/>
      <w:rPr>
        <w:rStyle w:val="18"/>
        <w:sz w:val="28"/>
      </w:rPr>
    </w:pPr>
    <w:r>
      <w:rPr>
        <w:rStyle w:val="18"/>
        <w:sz w:val="28"/>
      </w:rPr>
      <w:t xml:space="preserve">— </w:t>
    </w:r>
    <w:r>
      <w:rPr>
        <w:rStyle w:val="18"/>
        <w:rFonts w:ascii="仿宋_GB2312"/>
        <w:sz w:val="28"/>
      </w:rPr>
      <w:fldChar w:fldCharType="begin"/>
    </w:r>
    <w:r>
      <w:rPr>
        <w:rStyle w:val="18"/>
        <w:rFonts w:ascii="仿宋_GB2312"/>
        <w:sz w:val="28"/>
      </w:rPr>
      <w:instrText xml:space="preserve">PAGE  </w:instrText>
    </w:r>
    <w:r>
      <w:rPr>
        <w:rStyle w:val="18"/>
        <w:rFonts w:ascii="仿宋_GB2312"/>
        <w:sz w:val="28"/>
      </w:rPr>
      <w:fldChar w:fldCharType="separate"/>
    </w:r>
    <w:r>
      <w:rPr>
        <w:rStyle w:val="18"/>
        <w:rFonts w:ascii="仿宋_GB2312"/>
        <w:sz w:val="28"/>
      </w:rPr>
      <w:t>1</w:t>
    </w:r>
    <w:r>
      <w:rPr>
        <w:rStyle w:val="18"/>
        <w:rFonts w:ascii="仿宋_GB2312"/>
        <w:sz w:val="28"/>
      </w:rPr>
      <w:fldChar w:fldCharType="end"/>
    </w:r>
    <w:r>
      <w:rPr>
        <w:rStyle w:val="18"/>
        <w:sz w:val="28"/>
      </w:rPr>
      <w:t>—</w:t>
    </w:r>
  </w:p>
  <w:p>
    <w:pPr>
      <w:pStyle w:val="11"/>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outside" w:y="1"/>
      <w:rPr>
        <w:rStyle w:val="18"/>
      </w:rPr>
    </w:pPr>
    <w:r>
      <w:rPr>
        <w:rStyle w:val="18"/>
      </w:rPr>
      <w:fldChar w:fldCharType="begin"/>
    </w:r>
    <w:r>
      <w:rPr>
        <w:rStyle w:val="18"/>
      </w:rPr>
      <w:instrText xml:space="preserve">PAGE  </w:instrText>
    </w:r>
    <w:r>
      <w:rPr>
        <w:rStyle w:val="18"/>
      </w:rPr>
      <w:fldChar w:fldCharType="end"/>
    </w:r>
  </w:p>
  <w:p>
    <w:pPr>
      <w:pStyle w:val="11"/>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trackRevisions w:val="1"/>
  <w:documentProtection w:enforcement="0"/>
  <w:defaultTabStop w:val="420"/>
  <w:drawingGridHorizontalSpacing w:val="0"/>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29C8"/>
    <w:rsid w:val="00033051"/>
    <w:rsid w:val="00033366"/>
    <w:rsid w:val="00034E94"/>
    <w:rsid w:val="00037A3E"/>
    <w:rsid w:val="000504AF"/>
    <w:rsid w:val="00052E5B"/>
    <w:rsid w:val="000541EB"/>
    <w:rsid w:val="00055D21"/>
    <w:rsid w:val="00062213"/>
    <w:rsid w:val="00064553"/>
    <w:rsid w:val="00072CC1"/>
    <w:rsid w:val="000752D7"/>
    <w:rsid w:val="000822DB"/>
    <w:rsid w:val="00086815"/>
    <w:rsid w:val="00086A28"/>
    <w:rsid w:val="000960A7"/>
    <w:rsid w:val="00096B16"/>
    <w:rsid w:val="000A5ADE"/>
    <w:rsid w:val="000B22F4"/>
    <w:rsid w:val="000B7B75"/>
    <w:rsid w:val="000C3B1B"/>
    <w:rsid w:val="000C425C"/>
    <w:rsid w:val="000C6E29"/>
    <w:rsid w:val="000F47D1"/>
    <w:rsid w:val="000F6B40"/>
    <w:rsid w:val="0010476B"/>
    <w:rsid w:val="00111328"/>
    <w:rsid w:val="00115267"/>
    <w:rsid w:val="00125DA5"/>
    <w:rsid w:val="00157826"/>
    <w:rsid w:val="00172A27"/>
    <w:rsid w:val="00173875"/>
    <w:rsid w:val="00185F5D"/>
    <w:rsid w:val="00194655"/>
    <w:rsid w:val="001B2242"/>
    <w:rsid w:val="001C09A8"/>
    <w:rsid w:val="001C1355"/>
    <w:rsid w:val="001C74E0"/>
    <w:rsid w:val="001C7DC1"/>
    <w:rsid w:val="001D6F42"/>
    <w:rsid w:val="001D712B"/>
    <w:rsid w:val="001E1E8A"/>
    <w:rsid w:val="001E3D79"/>
    <w:rsid w:val="00201BC5"/>
    <w:rsid w:val="00204934"/>
    <w:rsid w:val="00212A5A"/>
    <w:rsid w:val="0022069E"/>
    <w:rsid w:val="00226A89"/>
    <w:rsid w:val="0026114A"/>
    <w:rsid w:val="002646AA"/>
    <w:rsid w:val="00274546"/>
    <w:rsid w:val="002767A8"/>
    <w:rsid w:val="00276D38"/>
    <w:rsid w:val="0027732B"/>
    <w:rsid w:val="0029367C"/>
    <w:rsid w:val="00294A70"/>
    <w:rsid w:val="002A65C1"/>
    <w:rsid w:val="002C2FF7"/>
    <w:rsid w:val="002C3F59"/>
    <w:rsid w:val="002D675A"/>
    <w:rsid w:val="002E22C8"/>
    <w:rsid w:val="002F5597"/>
    <w:rsid w:val="003042BE"/>
    <w:rsid w:val="00306032"/>
    <w:rsid w:val="00307362"/>
    <w:rsid w:val="00310BAC"/>
    <w:rsid w:val="00312C9C"/>
    <w:rsid w:val="00331422"/>
    <w:rsid w:val="00377C47"/>
    <w:rsid w:val="00390139"/>
    <w:rsid w:val="0039304D"/>
    <w:rsid w:val="00394D76"/>
    <w:rsid w:val="003953B9"/>
    <w:rsid w:val="003A19C4"/>
    <w:rsid w:val="003B0359"/>
    <w:rsid w:val="003D3F13"/>
    <w:rsid w:val="003E459B"/>
    <w:rsid w:val="00430785"/>
    <w:rsid w:val="00433FA3"/>
    <w:rsid w:val="00445A0A"/>
    <w:rsid w:val="00452F01"/>
    <w:rsid w:val="004559DD"/>
    <w:rsid w:val="004614B7"/>
    <w:rsid w:val="004708F2"/>
    <w:rsid w:val="00475FCA"/>
    <w:rsid w:val="004924DE"/>
    <w:rsid w:val="004D0189"/>
    <w:rsid w:val="004D3465"/>
    <w:rsid w:val="004E53DB"/>
    <w:rsid w:val="00501082"/>
    <w:rsid w:val="0050214F"/>
    <w:rsid w:val="00506119"/>
    <w:rsid w:val="00531B3E"/>
    <w:rsid w:val="00536E42"/>
    <w:rsid w:val="00540A5D"/>
    <w:rsid w:val="00544267"/>
    <w:rsid w:val="00553055"/>
    <w:rsid w:val="00553328"/>
    <w:rsid w:val="00555EE0"/>
    <w:rsid w:val="00561E05"/>
    <w:rsid w:val="00577FAE"/>
    <w:rsid w:val="005A1641"/>
    <w:rsid w:val="005A22CB"/>
    <w:rsid w:val="005A2C1B"/>
    <w:rsid w:val="005B71A2"/>
    <w:rsid w:val="005B740D"/>
    <w:rsid w:val="005D4C11"/>
    <w:rsid w:val="005F0A37"/>
    <w:rsid w:val="005F7C16"/>
    <w:rsid w:val="0060102D"/>
    <w:rsid w:val="00602EFE"/>
    <w:rsid w:val="006100E2"/>
    <w:rsid w:val="00630F99"/>
    <w:rsid w:val="0063119B"/>
    <w:rsid w:val="00631B00"/>
    <w:rsid w:val="00642509"/>
    <w:rsid w:val="00644295"/>
    <w:rsid w:val="00653F23"/>
    <w:rsid w:val="00665434"/>
    <w:rsid w:val="00665C38"/>
    <w:rsid w:val="00682222"/>
    <w:rsid w:val="006A001C"/>
    <w:rsid w:val="006A365E"/>
    <w:rsid w:val="006B17BA"/>
    <w:rsid w:val="006B4720"/>
    <w:rsid w:val="006C2BDE"/>
    <w:rsid w:val="006D5A89"/>
    <w:rsid w:val="006E01FE"/>
    <w:rsid w:val="006E2518"/>
    <w:rsid w:val="006E51AD"/>
    <w:rsid w:val="006F010B"/>
    <w:rsid w:val="0074071A"/>
    <w:rsid w:val="0075572A"/>
    <w:rsid w:val="007671DB"/>
    <w:rsid w:val="0077070B"/>
    <w:rsid w:val="007727C7"/>
    <w:rsid w:val="007739DD"/>
    <w:rsid w:val="0077792F"/>
    <w:rsid w:val="00782CF7"/>
    <w:rsid w:val="007862E2"/>
    <w:rsid w:val="007903D4"/>
    <w:rsid w:val="00794E9F"/>
    <w:rsid w:val="007B412F"/>
    <w:rsid w:val="007C2DE4"/>
    <w:rsid w:val="007C509B"/>
    <w:rsid w:val="007C60FD"/>
    <w:rsid w:val="007C7D3D"/>
    <w:rsid w:val="007E22E1"/>
    <w:rsid w:val="00804700"/>
    <w:rsid w:val="0082515F"/>
    <w:rsid w:val="00826F13"/>
    <w:rsid w:val="00830349"/>
    <w:rsid w:val="00831116"/>
    <w:rsid w:val="00834EF3"/>
    <w:rsid w:val="00843B2C"/>
    <w:rsid w:val="00847EC0"/>
    <w:rsid w:val="00863FE1"/>
    <w:rsid w:val="00866877"/>
    <w:rsid w:val="00874E1E"/>
    <w:rsid w:val="0087577D"/>
    <w:rsid w:val="0088400C"/>
    <w:rsid w:val="00885A39"/>
    <w:rsid w:val="00885FBA"/>
    <w:rsid w:val="00886594"/>
    <w:rsid w:val="00892142"/>
    <w:rsid w:val="0089512B"/>
    <w:rsid w:val="0089569A"/>
    <w:rsid w:val="008973A0"/>
    <w:rsid w:val="008A697D"/>
    <w:rsid w:val="008C424E"/>
    <w:rsid w:val="008C75FC"/>
    <w:rsid w:val="008D006C"/>
    <w:rsid w:val="008D29C6"/>
    <w:rsid w:val="008D2E2D"/>
    <w:rsid w:val="008D4206"/>
    <w:rsid w:val="008F5E27"/>
    <w:rsid w:val="00947C11"/>
    <w:rsid w:val="009601BF"/>
    <w:rsid w:val="00984420"/>
    <w:rsid w:val="009977B2"/>
    <w:rsid w:val="009A0593"/>
    <w:rsid w:val="009A0F0C"/>
    <w:rsid w:val="009B0183"/>
    <w:rsid w:val="009E3F64"/>
    <w:rsid w:val="009E6089"/>
    <w:rsid w:val="009F0FE0"/>
    <w:rsid w:val="009F1AFA"/>
    <w:rsid w:val="00A35330"/>
    <w:rsid w:val="00A61CF7"/>
    <w:rsid w:val="00A64306"/>
    <w:rsid w:val="00A72B80"/>
    <w:rsid w:val="00A853FB"/>
    <w:rsid w:val="00A87089"/>
    <w:rsid w:val="00A872AD"/>
    <w:rsid w:val="00A93D6F"/>
    <w:rsid w:val="00A961FC"/>
    <w:rsid w:val="00AE71AD"/>
    <w:rsid w:val="00AF48F8"/>
    <w:rsid w:val="00B27163"/>
    <w:rsid w:val="00B3454A"/>
    <w:rsid w:val="00B3569D"/>
    <w:rsid w:val="00B37314"/>
    <w:rsid w:val="00B42218"/>
    <w:rsid w:val="00B651F5"/>
    <w:rsid w:val="00B71D9C"/>
    <w:rsid w:val="00B75B6B"/>
    <w:rsid w:val="00B760B9"/>
    <w:rsid w:val="00B844C2"/>
    <w:rsid w:val="00BA0A6C"/>
    <w:rsid w:val="00BB1A3F"/>
    <w:rsid w:val="00BB3E15"/>
    <w:rsid w:val="00BC472E"/>
    <w:rsid w:val="00BC74B1"/>
    <w:rsid w:val="00BC792C"/>
    <w:rsid w:val="00BD4D52"/>
    <w:rsid w:val="00BE56D6"/>
    <w:rsid w:val="00BF792B"/>
    <w:rsid w:val="00C121EB"/>
    <w:rsid w:val="00C159E5"/>
    <w:rsid w:val="00C16349"/>
    <w:rsid w:val="00C173C9"/>
    <w:rsid w:val="00C21294"/>
    <w:rsid w:val="00C30B2B"/>
    <w:rsid w:val="00C328AA"/>
    <w:rsid w:val="00C65CE8"/>
    <w:rsid w:val="00C6759A"/>
    <w:rsid w:val="00C76DA9"/>
    <w:rsid w:val="00C86C03"/>
    <w:rsid w:val="00C90989"/>
    <w:rsid w:val="00C91A22"/>
    <w:rsid w:val="00CB0EB7"/>
    <w:rsid w:val="00CB6284"/>
    <w:rsid w:val="00CB67FA"/>
    <w:rsid w:val="00CC3DB1"/>
    <w:rsid w:val="00CC7C1D"/>
    <w:rsid w:val="00CE6390"/>
    <w:rsid w:val="00CF43D4"/>
    <w:rsid w:val="00CF6FC9"/>
    <w:rsid w:val="00D16C8D"/>
    <w:rsid w:val="00D21093"/>
    <w:rsid w:val="00D22939"/>
    <w:rsid w:val="00D255C8"/>
    <w:rsid w:val="00D359C9"/>
    <w:rsid w:val="00D450E7"/>
    <w:rsid w:val="00D521F3"/>
    <w:rsid w:val="00D6171F"/>
    <w:rsid w:val="00D93E8E"/>
    <w:rsid w:val="00DA2A38"/>
    <w:rsid w:val="00DA4110"/>
    <w:rsid w:val="00DA7A4B"/>
    <w:rsid w:val="00DB2D9C"/>
    <w:rsid w:val="00DC1225"/>
    <w:rsid w:val="00DC4B62"/>
    <w:rsid w:val="00DD23E2"/>
    <w:rsid w:val="00E0589B"/>
    <w:rsid w:val="00E117B9"/>
    <w:rsid w:val="00E13389"/>
    <w:rsid w:val="00E17CF1"/>
    <w:rsid w:val="00E26438"/>
    <w:rsid w:val="00E447E4"/>
    <w:rsid w:val="00E63371"/>
    <w:rsid w:val="00E63DC5"/>
    <w:rsid w:val="00E72447"/>
    <w:rsid w:val="00E91B39"/>
    <w:rsid w:val="00E94B6B"/>
    <w:rsid w:val="00E97747"/>
    <w:rsid w:val="00E97F93"/>
    <w:rsid w:val="00EB31E2"/>
    <w:rsid w:val="00EB3AD7"/>
    <w:rsid w:val="00EC1789"/>
    <w:rsid w:val="00ED57B3"/>
    <w:rsid w:val="00EE2D8F"/>
    <w:rsid w:val="00EE5011"/>
    <w:rsid w:val="00F02D62"/>
    <w:rsid w:val="00F03804"/>
    <w:rsid w:val="00F07CB8"/>
    <w:rsid w:val="00F13856"/>
    <w:rsid w:val="00F1479B"/>
    <w:rsid w:val="00F25F43"/>
    <w:rsid w:val="00F37A37"/>
    <w:rsid w:val="00F57551"/>
    <w:rsid w:val="00F6291F"/>
    <w:rsid w:val="00FA4F3D"/>
    <w:rsid w:val="00FA7CC3"/>
    <w:rsid w:val="00FB0623"/>
    <w:rsid w:val="00FB1F34"/>
    <w:rsid w:val="00FB26B2"/>
    <w:rsid w:val="00FD365D"/>
    <w:rsid w:val="00FD3E1B"/>
    <w:rsid w:val="00FD6B51"/>
    <w:rsid w:val="00FE1E9C"/>
    <w:rsid w:val="023852A6"/>
    <w:rsid w:val="03ED00C3"/>
    <w:rsid w:val="07280088"/>
    <w:rsid w:val="0CC07576"/>
    <w:rsid w:val="0F863D5D"/>
    <w:rsid w:val="0FD261FB"/>
    <w:rsid w:val="1130203D"/>
    <w:rsid w:val="1247788B"/>
    <w:rsid w:val="13697835"/>
    <w:rsid w:val="15D0491F"/>
    <w:rsid w:val="16F85534"/>
    <w:rsid w:val="175947C2"/>
    <w:rsid w:val="18290BCC"/>
    <w:rsid w:val="1BC653F8"/>
    <w:rsid w:val="20C8387F"/>
    <w:rsid w:val="26754D69"/>
    <w:rsid w:val="2DC24BFF"/>
    <w:rsid w:val="2FB30D8E"/>
    <w:rsid w:val="307A6038"/>
    <w:rsid w:val="32D549CF"/>
    <w:rsid w:val="343B1711"/>
    <w:rsid w:val="37825466"/>
    <w:rsid w:val="382B433D"/>
    <w:rsid w:val="3B02193B"/>
    <w:rsid w:val="3BF30539"/>
    <w:rsid w:val="3EC97CE5"/>
    <w:rsid w:val="3F7F4906"/>
    <w:rsid w:val="41DA2097"/>
    <w:rsid w:val="48B048C7"/>
    <w:rsid w:val="53543DA5"/>
    <w:rsid w:val="5D237F64"/>
    <w:rsid w:val="62A454E0"/>
    <w:rsid w:val="631409F3"/>
    <w:rsid w:val="63ED2BD0"/>
    <w:rsid w:val="66E403C4"/>
    <w:rsid w:val="69B710E6"/>
    <w:rsid w:val="6CB31A2B"/>
    <w:rsid w:val="70823ED5"/>
    <w:rsid w:val="70B05A3C"/>
    <w:rsid w:val="71E45777"/>
    <w:rsid w:val="732D3868"/>
    <w:rsid w:val="7431346F"/>
    <w:rsid w:val="790955FB"/>
    <w:rsid w:val="7980012F"/>
    <w:rsid w:val="7F035807"/>
    <w:rsid w:val="7FAD42CC"/>
    <w:rsid w:val="7FD42B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99" w:name="Balloon Text"/>
    <w:lsdException w:unhideWhenUsed="0" w:uiPriority="0" w:semiHidden="0" w:name="Table Grid" w:locked="1"/>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9"/>
    <w:pPr>
      <w:keepNext/>
      <w:keepLines/>
      <w:spacing w:before="120" w:line="360" w:lineRule="exact"/>
      <w:ind w:left="57" w:right="57"/>
      <w:jc w:val="center"/>
      <w:outlineLvl w:val="0"/>
    </w:pPr>
    <w:rPr>
      <w:rFonts w:eastAsia="黑体"/>
      <w:b/>
      <w:color w:val="FF0000"/>
      <w:kern w:val="44"/>
      <w:sz w:val="30"/>
      <w:szCs w:val="20"/>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rPr>
      <w:sz w:val="24"/>
      <w:szCs w:val="20"/>
    </w:rPr>
  </w:style>
  <w:style w:type="paragraph" w:styleId="4">
    <w:name w:val="annotation text"/>
    <w:basedOn w:val="1"/>
    <w:link w:val="21"/>
    <w:semiHidden/>
    <w:qFormat/>
    <w:uiPriority w:val="99"/>
    <w:pPr>
      <w:jc w:val="left"/>
    </w:pPr>
  </w:style>
  <w:style w:type="paragraph" w:styleId="5">
    <w:name w:val="Body Text"/>
    <w:basedOn w:val="1"/>
    <w:link w:val="23"/>
    <w:qFormat/>
    <w:uiPriority w:val="99"/>
    <w:pPr>
      <w:spacing w:line="440" w:lineRule="exact"/>
    </w:pPr>
    <w:rPr>
      <w:rFonts w:eastAsia="仿宋_GB2312"/>
      <w:b/>
      <w:sz w:val="28"/>
      <w:szCs w:val="20"/>
    </w:rPr>
  </w:style>
  <w:style w:type="paragraph" w:styleId="6">
    <w:name w:val="Body Text Indent"/>
    <w:basedOn w:val="1"/>
    <w:link w:val="24"/>
    <w:qFormat/>
    <w:uiPriority w:val="99"/>
    <w:pPr>
      <w:spacing w:line="480" w:lineRule="exact"/>
      <w:ind w:firstLine="560" w:firstLineChars="200"/>
    </w:pPr>
    <w:rPr>
      <w:rFonts w:ascii="仿宋_GB2312" w:hAnsi="宋体" w:eastAsia="仿宋_GB2312"/>
      <w:sz w:val="28"/>
      <w:szCs w:val="28"/>
    </w:rPr>
  </w:style>
  <w:style w:type="paragraph" w:styleId="7">
    <w:name w:val="Plain Text"/>
    <w:basedOn w:val="1"/>
    <w:link w:val="25"/>
    <w:qFormat/>
    <w:uiPriority w:val="99"/>
    <w:rPr>
      <w:rFonts w:ascii="宋体" w:hAnsi="Courier New" w:cs="Courier New"/>
      <w:szCs w:val="21"/>
    </w:rPr>
  </w:style>
  <w:style w:type="paragraph" w:styleId="8">
    <w:name w:val="Date"/>
    <w:basedOn w:val="1"/>
    <w:next w:val="1"/>
    <w:link w:val="26"/>
    <w:qFormat/>
    <w:uiPriority w:val="99"/>
    <w:pPr>
      <w:ind w:left="100" w:leftChars="2500"/>
    </w:pPr>
    <w:rPr>
      <w:rFonts w:ascii="仿宋_GB2312" w:eastAsia="仿宋_GB2312"/>
      <w:sz w:val="32"/>
      <w:szCs w:val="20"/>
    </w:rPr>
  </w:style>
  <w:style w:type="paragraph" w:styleId="9">
    <w:name w:val="Body Text Indent 2"/>
    <w:basedOn w:val="1"/>
    <w:link w:val="27"/>
    <w:qFormat/>
    <w:uiPriority w:val="99"/>
    <w:pPr>
      <w:spacing w:after="120" w:line="480" w:lineRule="auto"/>
      <w:ind w:left="420" w:leftChars="200"/>
    </w:pPr>
  </w:style>
  <w:style w:type="paragraph" w:styleId="10">
    <w:name w:val="Balloon Text"/>
    <w:basedOn w:val="1"/>
    <w:link w:val="28"/>
    <w:semiHidden/>
    <w:qFormat/>
    <w:uiPriority w:val="99"/>
    <w:rPr>
      <w:sz w:val="18"/>
      <w:szCs w:val="18"/>
    </w:rPr>
  </w:style>
  <w:style w:type="paragraph" w:styleId="11">
    <w:name w:val="footer"/>
    <w:basedOn w:val="1"/>
    <w:link w:val="29"/>
    <w:qFormat/>
    <w:uiPriority w:val="99"/>
    <w:pPr>
      <w:tabs>
        <w:tab w:val="center" w:pos="4153"/>
        <w:tab w:val="right" w:pos="8306"/>
      </w:tabs>
      <w:snapToGrid w:val="0"/>
      <w:jc w:val="left"/>
    </w:pPr>
    <w:rPr>
      <w:sz w:val="18"/>
      <w:szCs w:val="18"/>
    </w:rPr>
  </w:style>
  <w:style w:type="paragraph" w:styleId="12">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Indent 3"/>
    <w:basedOn w:val="1"/>
    <w:link w:val="31"/>
    <w:qFormat/>
    <w:uiPriority w:val="99"/>
    <w:pPr>
      <w:spacing w:after="120"/>
      <w:ind w:left="420" w:leftChars="200"/>
    </w:pPr>
    <w:rPr>
      <w:sz w:val="16"/>
      <w:szCs w:val="16"/>
    </w:rPr>
  </w:style>
  <w:style w:type="paragraph" w:styleId="14">
    <w:name w:val="Normal (Web)"/>
    <w:basedOn w:val="1"/>
    <w:qFormat/>
    <w:uiPriority w:val="0"/>
    <w:rPr>
      <w:rFonts w:ascii="Calibri" w:hAnsi="Calibri"/>
      <w:sz w:val="24"/>
    </w:rPr>
  </w:style>
  <w:style w:type="paragraph" w:styleId="15">
    <w:name w:val="annotation subject"/>
    <w:basedOn w:val="4"/>
    <w:next w:val="4"/>
    <w:link w:val="22"/>
    <w:semiHidden/>
    <w:qFormat/>
    <w:uiPriority w:val="99"/>
    <w:rPr>
      <w:b/>
      <w:bCs/>
    </w:rPr>
  </w:style>
  <w:style w:type="character" w:styleId="18">
    <w:name w:val="page number"/>
    <w:basedOn w:val="17"/>
    <w:qFormat/>
    <w:uiPriority w:val="99"/>
    <w:rPr>
      <w:rFonts w:cs="Times New Roman"/>
    </w:rPr>
  </w:style>
  <w:style w:type="character" w:styleId="19">
    <w:name w:val="annotation reference"/>
    <w:basedOn w:val="17"/>
    <w:semiHidden/>
    <w:qFormat/>
    <w:uiPriority w:val="99"/>
    <w:rPr>
      <w:rFonts w:cs="Times New Roman"/>
      <w:sz w:val="21"/>
      <w:szCs w:val="21"/>
    </w:rPr>
  </w:style>
  <w:style w:type="character" w:customStyle="1" w:styleId="20">
    <w:name w:val="标题 1 Char"/>
    <w:basedOn w:val="17"/>
    <w:link w:val="2"/>
    <w:qFormat/>
    <w:uiPriority w:val="9"/>
    <w:rPr>
      <w:b/>
      <w:bCs/>
      <w:kern w:val="44"/>
      <w:sz w:val="44"/>
      <w:szCs w:val="44"/>
    </w:rPr>
  </w:style>
  <w:style w:type="character" w:customStyle="1" w:styleId="21">
    <w:name w:val="批注文字 Char"/>
    <w:basedOn w:val="17"/>
    <w:link w:val="4"/>
    <w:semiHidden/>
    <w:qFormat/>
    <w:uiPriority w:val="99"/>
    <w:rPr>
      <w:szCs w:val="24"/>
    </w:rPr>
  </w:style>
  <w:style w:type="character" w:customStyle="1" w:styleId="22">
    <w:name w:val="批注主题 Char"/>
    <w:basedOn w:val="21"/>
    <w:link w:val="15"/>
    <w:semiHidden/>
    <w:qFormat/>
    <w:uiPriority w:val="99"/>
    <w:rPr>
      <w:b/>
      <w:bCs/>
      <w:szCs w:val="24"/>
    </w:rPr>
  </w:style>
  <w:style w:type="character" w:customStyle="1" w:styleId="23">
    <w:name w:val="正文文本 Char"/>
    <w:basedOn w:val="17"/>
    <w:link w:val="5"/>
    <w:semiHidden/>
    <w:qFormat/>
    <w:uiPriority w:val="99"/>
    <w:rPr>
      <w:szCs w:val="24"/>
    </w:rPr>
  </w:style>
  <w:style w:type="character" w:customStyle="1" w:styleId="24">
    <w:name w:val="正文文本缩进 Char"/>
    <w:basedOn w:val="17"/>
    <w:link w:val="6"/>
    <w:semiHidden/>
    <w:qFormat/>
    <w:uiPriority w:val="99"/>
    <w:rPr>
      <w:szCs w:val="24"/>
    </w:rPr>
  </w:style>
  <w:style w:type="character" w:customStyle="1" w:styleId="25">
    <w:name w:val="纯文本 Char"/>
    <w:basedOn w:val="17"/>
    <w:link w:val="7"/>
    <w:qFormat/>
    <w:locked/>
    <w:uiPriority w:val="99"/>
    <w:rPr>
      <w:rFonts w:ascii="宋体" w:hAnsi="Courier New" w:cs="Courier New"/>
      <w:kern w:val="2"/>
      <w:sz w:val="21"/>
      <w:szCs w:val="21"/>
    </w:rPr>
  </w:style>
  <w:style w:type="character" w:customStyle="1" w:styleId="26">
    <w:name w:val="日期 Char"/>
    <w:basedOn w:val="17"/>
    <w:link w:val="8"/>
    <w:semiHidden/>
    <w:qFormat/>
    <w:uiPriority w:val="99"/>
    <w:rPr>
      <w:szCs w:val="24"/>
    </w:rPr>
  </w:style>
  <w:style w:type="character" w:customStyle="1" w:styleId="27">
    <w:name w:val="正文文本缩进 2 Char"/>
    <w:basedOn w:val="17"/>
    <w:link w:val="9"/>
    <w:semiHidden/>
    <w:qFormat/>
    <w:uiPriority w:val="99"/>
    <w:rPr>
      <w:szCs w:val="24"/>
    </w:rPr>
  </w:style>
  <w:style w:type="character" w:customStyle="1" w:styleId="28">
    <w:name w:val="批注框文本 Char"/>
    <w:basedOn w:val="17"/>
    <w:link w:val="10"/>
    <w:semiHidden/>
    <w:qFormat/>
    <w:uiPriority w:val="99"/>
    <w:rPr>
      <w:sz w:val="0"/>
      <w:szCs w:val="0"/>
    </w:rPr>
  </w:style>
  <w:style w:type="character" w:customStyle="1" w:styleId="29">
    <w:name w:val="页脚 Char"/>
    <w:basedOn w:val="17"/>
    <w:link w:val="11"/>
    <w:semiHidden/>
    <w:qFormat/>
    <w:uiPriority w:val="99"/>
    <w:rPr>
      <w:sz w:val="18"/>
      <w:szCs w:val="18"/>
    </w:rPr>
  </w:style>
  <w:style w:type="character" w:customStyle="1" w:styleId="30">
    <w:name w:val="页眉 Char"/>
    <w:basedOn w:val="17"/>
    <w:link w:val="12"/>
    <w:semiHidden/>
    <w:qFormat/>
    <w:uiPriority w:val="99"/>
    <w:rPr>
      <w:sz w:val="18"/>
      <w:szCs w:val="18"/>
    </w:rPr>
  </w:style>
  <w:style w:type="character" w:customStyle="1" w:styleId="31">
    <w:name w:val="正文文本缩进 3 Char"/>
    <w:basedOn w:val="17"/>
    <w:link w:val="13"/>
    <w:semiHidden/>
    <w:qFormat/>
    <w:uiPriority w:val="99"/>
    <w:rPr>
      <w:sz w:val="16"/>
      <w:szCs w:val="16"/>
    </w:rPr>
  </w:style>
  <w:style w:type="paragraph" w:customStyle="1" w:styleId="32">
    <w:name w:val="Char Char Char Char Char Char Char"/>
    <w:basedOn w:val="1"/>
    <w:qFormat/>
    <w:uiPriority w:val="99"/>
    <w:pPr>
      <w:tabs>
        <w:tab w:val="left" w:pos="720"/>
      </w:tabs>
      <w:ind w:left="720" w:hanging="720"/>
    </w:pPr>
    <w:rPr>
      <w:sz w:val="24"/>
    </w:rPr>
  </w:style>
  <w:style w:type="paragraph" w:customStyle="1" w:styleId="33">
    <w:name w:val="Char"/>
    <w:basedOn w:val="1"/>
    <w:qFormat/>
    <w:uiPriority w:val="99"/>
    <w:rPr>
      <w:szCs w:val="20"/>
    </w:rPr>
  </w:style>
  <w:style w:type="paragraph" w:customStyle="1" w:styleId="34">
    <w:name w:val="List Paragraph1"/>
    <w:basedOn w:val="1"/>
    <w:qFormat/>
    <w:uiPriority w:val="99"/>
    <w:pPr>
      <w:ind w:firstLine="420" w:firstLineChars="200"/>
    </w:pPr>
  </w:style>
  <w:style w:type="paragraph" w:customStyle="1" w:styleId="35">
    <w:name w:val="果正文"/>
    <w:basedOn w:val="1"/>
    <w:qFormat/>
    <w:uiPriority w:val="99"/>
    <w:pPr>
      <w:tabs>
        <w:tab w:val="left" w:pos="1800"/>
      </w:tabs>
      <w:ind w:firstLine="544" w:firstLineChars="200"/>
    </w:pPr>
    <w:rPr>
      <w:rFonts w:ascii="仿宋_GB2312" w:eastAsia="仿宋_GB2312"/>
      <w:spacing w:val="-4"/>
      <w:sz w:val="28"/>
      <w:szCs w:val="20"/>
    </w:rPr>
  </w:style>
  <w:style w:type="paragraph" w:styleId="3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wenyin</Company>
  <Pages>1</Pages>
  <Words>236</Words>
  <Characters>1351</Characters>
  <Lines>11</Lines>
  <Paragraphs>3</Paragraphs>
  <TotalTime>1</TotalTime>
  <ScaleCrop>false</ScaleCrop>
  <LinksUpToDate>false</LinksUpToDate>
  <CharactersWithSpaces>1584</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2020-11-01T11:33:00Z</dcterms:created>
  <dc:creator>qiuyue</dc:creator>
  <cp:lastModifiedBy>武岚</cp:lastModifiedBy>
  <cp:lastPrinted>2021-07-07T08:53:00Z</cp:lastPrinted>
  <dcterms:modified xsi:type="dcterms:W3CDTF">2021-07-27T08:17:50Z</dcterms:modified>
  <dc:title>首医大校教字[2003]2号</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387AED96AC3542C692AE19F9C48359DC</vt:lpwstr>
  </property>
</Properties>
</file>