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附件</w:t>
      </w: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spacing w:line="588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简体" w:cs="Times New Roman"/>
          <w:sz w:val="44"/>
          <w:szCs w:val="44"/>
        </w:rPr>
        <w:t>国家平台线上备案服务开通地区名单</w:t>
      </w:r>
    </w:p>
    <w:bookmarkEnd w:id="0"/>
    <w:p>
      <w:pPr>
        <w:spacing w:line="588" w:lineRule="exact"/>
        <w:jc w:val="center"/>
        <w:rPr>
          <w:rFonts w:ascii="Times New Roman" w:hAnsi="Times New Roman" w:eastAsia="方正小标宋简体" w:cs="Times New Roman"/>
          <w:sz w:val="32"/>
          <w:szCs w:val="32"/>
        </w:rPr>
      </w:pP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山西</w:t>
      </w:r>
      <w:r>
        <w:rPr>
          <w:rFonts w:ascii="Times New Roman" w:hAnsi="Times New Roman" w:cs="Times New Roman"/>
          <w:sz w:val="32"/>
          <w:szCs w:val="32"/>
        </w:rPr>
        <w:t>（12个统筹地区）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省本级、运城市、临汾市、吕梁市、阳泉市、长治市、忻州市、晋城市、大同市、朔州市、太原市、晋中市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内蒙古</w:t>
      </w:r>
      <w:r>
        <w:rPr>
          <w:rFonts w:ascii="Times New Roman" w:hAnsi="Times New Roman" w:cs="Times New Roman"/>
          <w:sz w:val="32"/>
          <w:szCs w:val="32"/>
        </w:rPr>
        <w:t>（11个统筹地区）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呼和浩特市、包头市、乌海市、通辽市、呼伦贝尔市、巴彦淖尔市、阿拉善盟、自治区区本级、鄂尔多斯市、乌兰察布市、兴安盟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辽宁</w:t>
      </w:r>
      <w:r>
        <w:rPr>
          <w:rFonts w:ascii="Times New Roman" w:hAnsi="Times New Roman" w:cs="Times New Roman"/>
          <w:sz w:val="32"/>
          <w:szCs w:val="32"/>
        </w:rPr>
        <w:t>(1个统筹地区)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省本级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吉林</w:t>
      </w:r>
      <w:r>
        <w:rPr>
          <w:rFonts w:ascii="Times New Roman" w:hAnsi="Times New Roman" w:cs="Times New Roman"/>
          <w:sz w:val="32"/>
          <w:szCs w:val="32"/>
        </w:rPr>
        <w:t>（1个统筹地区）</w:t>
      </w:r>
    </w:p>
    <w:p>
      <w:pPr>
        <w:spacing w:line="588" w:lineRule="exact"/>
        <w:ind w:left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省本级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黑龙江</w:t>
      </w:r>
      <w:r>
        <w:rPr>
          <w:rFonts w:ascii="Times New Roman" w:hAnsi="Times New Roman" w:cs="Times New Roman"/>
          <w:sz w:val="32"/>
          <w:szCs w:val="32"/>
        </w:rPr>
        <w:t>（2个统筹地区）</w:t>
      </w:r>
    </w:p>
    <w:p>
      <w:pPr>
        <w:spacing w:line="588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鹤岗市、黑河市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江苏</w:t>
      </w:r>
      <w:r>
        <w:rPr>
          <w:rFonts w:ascii="Times New Roman" w:hAnsi="Times New Roman" w:cs="Times New Roman"/>
          <w:sz w:val="32"/>
          <w:szCs w:val="32"/>
        </w:rPr>
        <w:t>（7个统筹地区）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无锡市、宿迁市、淮安市、徐州市、连云港市、盐城市、扬州市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浙江</w:t>
      </w:r>
      <w:r>
        <w:rPr>
          <w:rFonts w:ascii="Times New Roman" w:hAnsi="Times New Roman" w:cs="Times New Roman"/>
          <w:sz w:val="32"/>
          <w:szCs w:val="32"/>
        </w:rPr>
        <w:t>（1个统筹地区）</w:t>
      </w:r>
    </w:p>
    <w:p>
      <w:p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省本级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安徽</w:t>
      </w:r>
      <w:r>
        <w:rPr>
          <w:rFonts w:ascii="Times New Roman" w:hAnsi="Times New Roman" w:cs="Times New Roman"/>
          <w:sz w:val="32"/>
          <w:szCs w:val="32"/>
        </w:rPr>
        <w:t>（</w:t>
      </w:r>
      <w:r>
        <w:rPr>
          <w:rFonts w:hint="eastAsia" w:ascii="Times New Roman" w:hAnsi="Times New Roman" w:cs="Times New Roman"/>
          <w:sz w:val="32"/>
          <w:szCs w:val="32"/>
        </w:rPr>
        <w:t>9</w:t>
      </w:r>
      <w:r>
        <w:rPr>
          <w:rFonts w:ascii="Times New Roman" w:hAnsi="Times New Roman" w:cs="Times New Roman"/>
          <w:sz w:val="32"/>
          <w:szCs w:val="32"/>
        </w:rPr>
        <w:t>个统筹地区）</w:t>
      </w:r>
    </w:p>
    <w:p>
      <w:pPr>
        <w:autoSpaceDE w:val="0"/>
        <w:autoSpaceDN w:val="0"/>
        <w:adjustRightInd w:val="0"/>
        <w:spacing w:line="588" w:lineRule="exact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省本级、六安市、蚌埠市、亳州市、淮北市、合肥市、宿州市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、滁州市、芜湖市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福建</w:t>
      </w:r>
      <w:r>
        <w:rPr>
          <w:rFonts w:ascii="Times New Roman" w:hAnsi="Times New Roman" w:cs="Times New Roman"/>
          <w:sz w:val="32"/>
          <w:szCs w:val="32"/>
        </w:rPr>
        <w:t>（1个统筹地区）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省本级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江西</w:t>
      </w:r>
      <w:r>
        <w:rPr>
          <w:rFonts w:ascii="Times New Roman" w:hAnsi="Times New Roman" w:cs="Times New Roman"/>
          <w:sz w:val="32"/>
          <w:szCs w:val="32"/>
        </w:rPr>
        <w:t>（7个统筹地区）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省本级、新余市、萍乡市、赣州市、景德镇市、宜春市、鹰潭市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山东</w:t>
      </w:r>
      <w:r>
        <w:rPr>
          <w:rFonts w:ascii="Times New Roman" w:hAnsi="Times New Roman" w:cs="Times New Roman"/>
          <w:sz w:val="32"/>
          <w:szCs w:val="32"/>
        </w:rPr>
        <w:t>（</w:t>
      </w:r>
      <w:r>
        <w:rPr>
          <w:rFonts w:hint="eastAsia" w:ascii="Times New Roman" w:hAnsi="Times New Roman" w:cs="Times New Roman"/>
          <w:sz w:val="32"/>
          <w:szCs w:val="32"/>
        </w:rPr>
        <w:t>5</w:t>
      </w:r>
      <w:r>
        <w:rPr>
          <w:rFonts w:ascii="Times New Roman" w:hAnsi="Times New Roman" w:cs="Times New Roman"/>
          <w:sz w:val="32"/>
          <w:szCs w:val="32"/>
        </w:rPr>
        <w:t>个统筹地区）</w:t>
      </w:r>
    </w:p>
    <w:p>
      <w:pPr>
        <w:pStyle w:val="5"/>
        <w:spacing w:line="588" w:lineRule="exact"/>
        <w:ind w:left="709" w:firstLine="0" w:firstLineChars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省本级、潍坊市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、济宁市、烟台市、临沂市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湖北省（</w:t>
      </w:r>
      <w:r>
        <w:rPr>
          <w:rFonts w:hint="eastAsia" w:ascii="Times New Roman" w:hAnsi="Times New Roman" w:cs="Times New Roman"/>
          <w:sz w:val="32"/>
          <w:szCs w:val="32"/>
        </w:rPr>
        <w:t>1</w:t>
      </w:r>
      <w:r>
        <w:rPr>
          <w:rFonts w:ascii="Times New Roman" w:hAnsi="Times New Roman" w:cs="Times New Roman"/>
          <w:sz w:val="32"/>
          <w:szCs w:val="32"/>
        </w:rPr>
        <w:t>统筹地区）</w:t>
      </w:r>
    </w:p>
    <w:p>
      <w:pPr>
        <w:pStyle w:val="5"/>
        <w:spacing w:line="588" w:lineRule="exact"/>
        <w:ind w:left="709" w:firstLine="0" w:firstLineChars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宜昌市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湖南</w:t>
      </w:r>
      <w:r>
        <w:rPr>
          <w:rFonts w:ascii="Times New Roman" w:hAnsi="Times New Roman" w:cs="Times New Roman"/>
          <w:sz w:val="32"/>
          <w:szCs w:val="32"/>
        </w:rPr>
        <w:t>（2个统筹地区）</w:t>
      </w:r>
    </w:p>
    <w:p>
      <w:p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 省本级、湘潭市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广西</w:t>
      </w:r>
      <w:r>
        <w:rPr>
          <w:rFonts w:ascii="Times New Roman" w:hAnsi="Times New Roman" w:cs="Times New Roman"/>
          <w:sz w:val="32"/>
          <w:szCs w:val="32"/>
        </w:rPr>
        <w:t>（1个统筹地区）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自治区区本级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海南</w:t>
      </w:r>
      <w:r>
        <w:rPr>
          <w:rFonts w:ascii="Times New Roman" w:hAnsi="Times New Roman" w:cs="Times New Roman"/>
          <w:sz w:val="32"/>
          <w:szCs w:val="32"/>
        </w:rPr>
        <w:t>（1个统筹地区）</w:t>
      </w:r>
    </w:p>
    <w:p>
      <w:pPr>
        <w:spacing w:line="588" w:lineRule="exact"/>
        <w:ind w:left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海南省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四川</w:t>
      </w:r>
      <w:r>
        <w:rPr>
          <w:rFonts w:ascii="Times New Roman" w:hAnsi="Times New Roman" w:cs="Times New Roman"/>
          <w:sz w:val="32"/>
          <w:szCs w:val="32"/>
        </w:rPr>
        <w:t>（8个统筹地区）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</w:t>
      </w:r>
      <w:r>
        <w:rPr>
          <w:rFonts w:ascii="Times New Roman" w:hAnsi="Times New Roman" w:eastAsia="仿宋_GB2312" w:cs="Times New Roman"/>
          <w:sz w:val="32"/>
          <w:szCs w:val="32"/>
        </w:rPr>
        <w:t>省本级、广安市、德阳市、乐山市、雅安市、巴中市、自贡市、遂宁市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陕西</w:t>
      </w:r>
      <w:r>
        <w:rPr>
          <w:rFonts w:ascii="Times New Roman" w:hAnsi="Times New Roman" w:cs="Times New Roman"/>
          <w:sz w:val="32"/>
          <w:szCs w:val="32"/>
        </w:rPr>
        <w:t>（4个统筹地区）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杨凌示范区、安康市、汉中市、宝鸡市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宁夏</w:t>
      </w:r>
      <w:r>
        <w:rPr>
          <w:rFonts w:ascii="Times New Roman" w:hAnsi="Times New Roman" w:cs="Times New Roman"/>
          <w:sz w:val="32"/>
          <w:szCs w:val="32"/>
        </w:rPr>
        <w:t>（5个统筹地区）</w:t>
      </w:r>
    </w:p>
    <w:p>
      <w:pPr>
        <w:spacing w:line="588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银川市、石嘴山市、吴忠市、固原市、中卫市</w:t>
      </w:r>
    </w:p>
    <w:p>
      <w:pPr>
        <w:numPr>
          <w:ilvl w:val="0"/>
          <w:numId w:val="1"/>
        </w:numPr>
        <w:spacing w:line="588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新疆</w:t>
      </w:r>
      <w:r>
        <w:rPr>
          <w:rFonts w:ascii="Times New Roman" w:hAnsi="Times New Roman" w:cs="Times New Roman"/>
          <w:sz w:val="32"/>
          <w:szCs w:val="32"/>
        </w:rPr>
        <w:t>（6个统筹地区）</w:t>
      </w:r>
    </w:p>
    <w:p>
      <w:pPr>
        <w:spacing w:line="588" w:lineRule="exact"/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自治区区本级、克拉玛依市、昌吉回族自治州、博尔塔拉蒙古自治州、巴音郭楞蒙古自治州、克孜勒苏柯尔克孜自治州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13601490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23C5B0"/>
    <w:multiLevelType w:val="singleLevel"/>
    <w:tmpl w:val="3723C5B0"/>
    <w:lvl w:ilvl="0" w:tentative="0">
      <w:start w:val="1"/>
      <w:numFmt w:val="chineseCounting"/>
      <w:suff w:val="nothing"/>
      <w:lvlText w:val="%1、"/>
      <w:lvlJc w:val="left"/>
      <w:pPr>
        <w:ind w:left="709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F40F78"/>
    <w:rsid w:val="03F40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2020-08-31T09:16:00Z</dcterms:created>
  <dc:creator>王怡</dc:creator>
  <cp:lastModifiedBy>王怡</cp:lastModifiedBy>
  <dcterms:modified xsi:type="dcterms:W3CDTF">2020-08-31T09:16:39Z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