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val="0"/>
        <w:topLinePunct w:val="0"/>
        <w:autoSpaceDE w:val="0"/>
        <w:autoSpaceDN w:val="0"/>
        <w:bidi w:val="0"/>
        <w:adjustRightInd w:val="0"/>
        <w:snapToGrid w:val="0"/>
        <w:spacing w:line="360" w:lineRule="auto"/>
        <w:textAlignment w:val="auto"/>
        <w:rPr>
          <w:rFonts w:ascii="Times New Roman" w:hAnsi="Times New Roman" w:eastAsia="方正小标宋简体"/>
          <w:sz w:val="28"/>
          <w:szCs w:val="28"/>
        </w:rPr>
      </w:pPr>
      <w:r>
        <w:rPr>
          <w:rFonts w:hint="eastAsia" w:ascii="方正小标宋简体" w:hAnsi="方正小标宋简体" w:eastAsia="方正小标宋简体" w:cs="方正小标宋简体"/>
          <w:sz w:val="28"/>
          <w:szCs w:val="28"/>
        </w:rPr>
        <w:t>中国经济改革促进与能力加强项目（</w:t>
      </w:r>
      <w:r>
        <w:rPr>
          <w:rFonts w:hint="eastAsia" w:ascii="方正小标宋简体" w:hAnsi="方正小标宋简体" w:eastAsia="方正小标宋简体"/>
          <w:sz w:val="28"/>
          <w:szCs w:val="28"/>
        </w:rPr>
        <w:t>TCC6</w:t>
      </w:r>
      <w:r>
        <w:rPr>
          <w:rFonts w:hint="eastAsia" w:ascii="方正小标宋简体" w:hAnsi="方正小标宋简体" w:eastAsia="方正小标宋简体" w:cs="方正小标宋简体"/>
          <w:sz w:val="28"/>
          <w:szCs w:val="28"/>
        </w:rPr>
        <w:t>）</w:t>
      </w:r>
    </w:p>
    <w:p>
      <w:pPr>
        <w:keepNext w:val="0"/>
        <w:keepLines w:val="0"/>
        <w:pageBreakBefore w:val="0"/>
        <w:widowControl w:val="0"/>
        <w:kinsoku/>
        <w:wordWrap/>
        <w:overflowPunct w:val="0"/>
        <w:topLinePunct w:val="0"/>
        <w:autoSpaceDE w:val="0"/>
        <w:autoSpaceDN w:val="0"/>
        <w:bidi w:val="0"/>
        <w:spacing w:line="360" w:lineRule="auto"/>
        <w:jc w:val="center"/>
        <w:textAlignment w:val="auto"/>
        <w:rPr>
          <w:rFonts w:ascii="方正小标宋简体" w:hAnsi="方正小标宋简体" w:eastAsia="方正小标宋简体" w:cs="方正小标宋简体"/>
          <w:sz w:val="36"/>
          <w:szCs w:val="36"/>
        </w:rPr>
      </w:pPr>
    </w:p>
    <w:p>
      <w:pPr>
        <w:keepNext w:val="0"/>
        <w:keepLines w:val="0"/>
        <w:pageBreakBefore w:val="0"/>
        <w:widowControl w:val="0"/>
        <w:kinsoku/>
        <w:wordWrap/>
        <w:overflowPunct w:val="0"/>
        <w:topLinePunct w:val="0"/>
        <w:autoSpaceDE w:val="0"/>
        <w:autoSpaceDN w:val="0"/>
        <w:bidi w:val="0"/>
        <w:adjustRightInd w:val="0"/>
        <w:snapToGrid w:val="0"/>
        <w:spacing w:line="580" w:lineRule="exact"/>
        <w:jc w:val="center"/>
        <w:textAlignment w:val="auto"/>
        <w:outlineLvl w:val="9"/>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基于卫生技术评估（HTA）的医保目录调整决策</w:t>
      </w:r>
    </w:p>
    <w:p>
      <w:pPr>
        <w:keepNext w:val="0"/>
        <w:keepLines w:val="0"/>
        <w:pageBreakBefore w:val="0"/>
        <w:widowControl w:val="0"/>
        <w:kinsoku/>
        <w:wordWrap/>
        <w:overflowPunct w:val="0"/>
        <w:topLinePunct w:val="0"/>
        <w:autoSpaceDE w:val="0"/>
        <w:autoSpaceDN w:val="0"/>
        <w:bidi w:val="0"/>
        <w:adjustRightInd w:val="0"/>
        <w:snapToGrid w:val="0"/>
        <w:spacing w:line="580" w:lineRule="exact"/>
        <w:jc w:val="center"/>
        <w:textAlignment w:val="auto"/>
        <w:outlineLvl w:val="9"/>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支持体系建设研究子项目</w:t>
      </w:r>
    </w:p>
    <w:p>
      <w:pPr>
        <w:keepNext w:val="0"/>
        <w:keepLines w:val="0"/>
        <w:pageBreakBefore w:val="0"/>
        <w:widowControl w:val="0"/>
        <w:kinsoku/>
        <w:wordWrap/>
        <w:overflowPunct w:val="0"/>
        <w:topLinePunct w:val="0"/>
        <w:autoSpaceDE w:val="0"/>
        <w:autoSpaceDN w:val="0"/>
        <w:bidi w:val="0"/>
        <w:adjustRightInd w:val="0"/>
        <w:snapToGrid w:val="0"/>
        <w:spacing w:line="580" w:lineRule="exact"/>
        <w:jc w:val="center"/>
        <w:textAlignment w:val="auto"/>
        <w:outlineLvl w:val="9"/>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“用于支持医保目录调整等决策的HTA技术标准应用研究”</w:t>
      </w:r>
    </w:p>
    <w:p>
      <w:pPr>
        <w:keepNext w:val="0"/>
        <w:keepLines w:val="0"/>
        <w:pageBreakBefore w:val="0"/>
        <w:widowControl w:val="0"/>
        <w:kinsoku/>
        <w:wordWrap/>
        <w:overflowPunct w:val="0"/>
        <w:topLinePunct w:val="0"/>
        <w:autoSpaceDE w:val="0"/>
        <w:autoSpaceDN w:val="0"/>
        <w:bidi w:val="0"/>
        <w:adjustRightInd w:val="0"/>
        <w:snapToGrid w:val="0"/>
        <w:spacing w:line="580" w:lineRule="exact"/>
        <w:jc w:val="center"/>
        <w:textAlignment w:val="auto"/>
        <w:outlineLvl w:val="9"/>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工作任务大纲</w:t>
      </w:r>
    </w:p>
    <w:p>
      <w:pPr>
        <w:keepNext w:val="0"/>
        <w:keepLines w:val="0"/>
        <w:pageBreakBefore w:val="0"/>
        <w:widowControl w:val="0"/>
        <w:kinsoku/>
        <w:wordWrap/>
        <w:overflowPunct w:val="0"/>
        <w:topLinePunct w:val="0"/>
        <w:autoSpaceDE w:val="0"/>
        <w:autoSpaceDN w:val="0"/>
        <w:bidi w:val="0"/>
        <w:spacing w:line="360" w:lineRule="auto"/>
        <w:jc w:val="center"/>
        <w:textAlignment w:val="auto"/>
        <w:rPr>
          <w:rFonts w:ascii="Times New Roman" w:hAnsi="Times New Roman" w:eastAsia="仿宋_GB2312"/>
          <w:sz w:val="36"/>
          <w:szCs w:val="36"/>
        </w:rPr>
      </w:pPr>
    </w:p>
    <w:p>
      <w:pPr>
        <w:pStyle w:val="5"/>
        <w:keepNext w:val="0"/>
        <w:keepLines w:val="0"/>
        <w:pageBreakBefore w:val="0"/>
        <w:widowControl w:val="0"/>
        <w:kinsoku/>
        <w:wordWrap/>
        <w:topLinePunct w:val="0"/>
        <w:bidi w:val="0"/>
        <w:adjustRightInd w:val="0"/>
        <w:snapToGrid w:val="0"/>
        <w:spacing w:after="0" w:line="360" w:lineRule="auto"/>
        <w:ind w:firstLine="600"/>
        <w:textAlignment w:val="auto"/>
        <w:rPr>
          <w:rFonts w:ascii="Times New Roman" w:eastAsia="仿宋_GB2312"/>
          <w:spacing w:val="0"/>
          <w:sz w:val="30"/>
          <w:szCs w:val="30"/>
        </w:rPr>
      </w:pPr>
      <w:r>
        <w:rPr>
          <w:rFonts w:ascii="Times New Roman" w:eastAsia="仿宋_GB2312"/>
          <w:spacing w:val="0"/>
          <w:sz w:val="30"/>
          <w:szCs w:val="30"/>
        </w:rPr>
        <w:t>经财政部批准，国家</w:t>
      </w:r>
      <w:r>
        <w:rPr>
          <w:rFonts w:hint="eastAsia" w:ascii="Times New Roman" w:eastAsia="仿宋_GB2312"/>
          <w:spacing w:val="0"/>
          <w:sz w:val="30"/>
          <w:szCs w:val="30"/>
        </w:rPr>
        <w:t>医疗保障局医药服务管理司</w:t>
      </w:r>
      <w:r>
        <w:rPr>
          <w:rFonts w:ascii="Times New Roman" w:eastAsia="仿宋_GB2312"/>
          <w:spacing w:val="0"/>
          <w:sz w:val="30"/>
          <w:szCs w:val="30"/>
        </w:rPr>
        <w:t>（以下简称</w:t>
      </w:r>
      <w:r>
        <w:rPr>
          <w:rFonts w:hint="eastAsia" w:ascii="Times New Roman" w:eastAsia="仿宋_GB2312"/>
          <w:spacing w:val="0"/>
          <w:sz w:val="30"/>
          <w:szCs w:val="30"/>
        </w:rPr>
        <w:t>医药</w:t>
      </w:r>
      <w:r>
        <w:rPr>
          <w:rFonts w:hint="eastAsia" w:ascii="Times New Roman" w:eastAsia="仿宋_GB2312"/>
          <w:spacing w:val="0"/>
          <w:sz w:val="30"/>
          <w:szCs w:val="30"/>
          <w:lang w:eastAsia="zh-CN"/>
        </w:rPr>
        <w:t>管理</w:t>
      </w:r>
      <w:r>
        <w:rPr>
          <w:rFonts w:hint="eastAsia" w:ascii="Times New Roman" w:eastAsia="仿宋_GB2312"/>
          <w:spacing w:val="0"/>
          <w:sz w:val="30"/>
          <w:szCs w:val="30"/>
        </w:rPr>
        <w:t>司</w:t>
      </w:r>
      <w:r>
        <w:rPr>
          <w:rFonts w:ascii="Times New Roman" w:eastAsia="仿宋_GB2312"/>
          <w:spacing w:val="0"/>
          <w:sz w:val="30"/>
          <w:szCs w:val="30"/>
        </w:rPr>
        <w:t>）正在执行世界银行贷款“中国经济改革促进与能力加强项目”中的一个子项目。该子项目的目标是</w:t>
      </w:r>
      <w:r>
        <w:rPr>
          <w:rFonts w:hint="eastAsia" w:ascii="Times New Roman" w:eastAsia="仿宋_GB2312"/>
          <w:spacing w:val="0"/>
          <w:sz w:val="30"/>
          <w:szCs w:val="30"/>
        </w:rPr>
        <w:t>促进卫生技术评估手段用于国家医保目录调整决策</w:t>
      </w:r>
      <w:r>
        <w:rPr>
          <w:rFonts w:ascii="Times New Roman" w:eastAsia="仿宋_GB2312"/>
          <w:spacing w:val="0"/>
          <w:sz w:val="30"/>
          <w:szCs w:val="30"/>
        </w:rPr>
        <w:t>。为此，</w:t>
      </w:r>
      <w:r>
        <w:rPr>
          <w:rFonts w:hint="eastAsia" w:ascii="Times New Roman" w:eastAsia="仿宋_GB2312"/>
          <w:spacing w:val="0"/>
          <w:sz w:val="30"/>
          <w:szCs w:val="30"/>
          <w:lang w:eastAsia="zh-CN"/>
        </w:rPr>
        <w:t>医药管理司</w:t>
      </w:r>
      <w:r>
        <w:rPr>
          <w:rFonts w:ascii="Times New Roman" w:eastAsia="仿宋_GB2312"/>
          <w:spacing w:val="0"/>
          <w:sz w:val="30"/>
          <w:szCs w:val="30"/>
        </w:rPr>
        <w:t>希望</w:t>
      </w:r>
      <w:r>
        <w:rPr>
          <w:rFonts w:hint="eastAsia" w:ascii="仿宋_GB2312" w:eastAsia="仿宋_GB2312"/>
          <w:sz w:val="30"/>
          <w:szCs w:val="30"/>
        </w:rPr>
        <w:t>聘请一家咨询机构，承担该子项目下</w:t>
      </w:r>
      <w:r>
        <w:rPr>
          <w:rFonts w:ascii="Times New Roman" w:eastAsia="仿宋_GB2312"/>
          <w:spacing w:val="0"/>
          <w:sz w:val="30"/>
          <w:szCs w:val="30"/>
        </w:rPr>
        <w:t>“</w:t>
      </w:r>
      <w:r>
        <w:rPr>
          <w:rFonts w:hint="eastAsia" w:ascii="Times New Roman" w:eastAsia="仿宋_GB2312"/>
          <w:spacing w:val="0"/>
          <w:sz w:val="30"/>
          <w:szCs w:val="30"/>
        </w:rPr>
        <w:t>用于支持医保目录调整等决策的HTA技术标准应用研究</w:t>
      </w:r>
      <w:r>
        <w:rPr>
          <w:rFonts w:ascii="Times New Roman" w:eastAsia="仿宋_GB2312"/>
          <w:spacing w:val="0"/>
          <w:sz w:val="30"/>
          <w:szCs w:val="30"/>
        </w:rPr>
        <w:t>”的</w:t>
      </w:r>
      <w:r>
        <w:rPr>
          <w:rFonts w:hint="eastAsia" w:ascii="Times New Roman" w:eastAsia="仿宋_GB2312"/>
          <w:spacing w:val="0"/>
          <w:sz w:val="30"/>
          <w:szCs w:val="30"/>
        </w:rPr>
        <w:t>研究任务。</w:t>
      </w:r>
    </w:p>
    <w:p>
      <w:pPr>
        <w:pStyle w:val="5"/>
        <w:keepNext w:val="0"/>
        <w:keepLines w:val="0"/>
        <w:pageBreakBefore w:val="0"/>
        <w:widowControl w:val="0"/>
        <w:kinsoku/>
        <w:wordWrap/>
        <w:topLinePunct w:val="0"/>
        <w:bidi w:val="0"/>
        <w:adjustRightInd w:val="0"/>
        <w:snapToGrid w:val="0"/>
        <w:spacing w:after="0" w:line="360" w:lineRule="auto"/>
        <w:ind w:firstLine="600"/>
        <w:textAlignment w:val="auto"/>
        <w:rPr>
          <w:rFonts w:ascii="黑体" w:hAnsi="黑体" w:eastAsia="黑体" w:cs="黑体"/>
          <w:spacing w:val="0"/>
          <w:sz w:val="30"/>
          <w:szCs w:val="30"/>
        </w:rPr>
      </w:pPr>
      <w:r>
        <w:rPr>
          <w:rFonts w:hint="eastAsia" w:ascii="黑体" w:hAnsi="黑体" w:eastAsia="黑体" w:cs="黑体"/>
          <w:spacing w:val="0"/>
          <w:sz w:val="30"/>
          <w:szCs w:val="30"/>
        </w:rPr>
        <w:t>一、背景</w:t>
      </w:r>
    </w:p>
    <w:p>
      <w:pPr>
        <w:keepNext w:val="0"/>
        <w:keepLines w:val="0"/>
        <w:pageBreakBefore w:val="0"/>
        <w:widowControl w:val="0"/>
        <w:kinsoku/>
        <w:wordWrap/>
        <w:overflowPunct w:val="0"/>
        <w:topLinePunct w:val="0"/>
        <w:autoSpaceDE w:val="0"/>
        <w:autoSpaceDN w:val="0"/>
        <w:bidi w:val="0"/>
        <w:adjustRightInd w:val="0"/>
        <w:snapToGrid w:val="0"/>
        <w:spacing w:line="360" w:lineRule="auto"/>
        <w:jc w:val="left"/>
        <w:textAlignment w:val="auto"/>
        <w:outlineLvl w:val="0"/>
        <w:rPr>
          <w:rFonts w:ascii="Times New Roman" w:hAnsi="Times New Roman" w:eastAsia="仿宋_GB2312"/>
          <w:kern w:val="0"/>
          <w:sz w:val="30"/>
          <w:szCs w:val="30"/>
        </w:rPr>
      </w:pPr>
      <w:r>
        <w:rPr>
          <w:rFonts w:ascii="Times New Roman" w:hAnsi="Times New Roman" w:eastAsia="仿宋_GB2312"/>
          <w:sz w:val="30"/>
          <w:szCs w:val="30"/>
        </w:rPr>
        <w:t xml:space="preserve">    1.关于子项</w:t>
      </w:r>
      <w:r>
        <w:rPr>
          <w:rFonts w:ascii="Times New Roman" w:hAnsi="Times New Roman" w:eastAsia="仿宋_GB2312"/>
          <w:kern w:val="0"/>
          <w:sz w:val="30"/>
          <w:szCs w:val="30"/>
        </w:rPr>
        <w:t>目</w:t>
      </w:r>
      <w:r>
        <w:rPr>
          <w:rFonts w:ascii="Times New Roman" w:eastAsia="仿宋_GB2312"/>
          <w:sz w:val="30"/>
          <w:szCs w:val="30"/>
        </w:rPr>
        <w:t>——</w:t>
      </w:r>
      <w:r>
        <w:rPr>
          <w:rFonts w:hint="eastAsia" w:ascii="Times New Roman" w:hAnsi="Times New Roman" w:eastAsia="仿宋_GB2312"/>
          <w:sz w:val="30"/>
          <w:szCs w:val="30"/>
        </w:rPr>
        <w:t>基于卫生技术评估（HTA）的医保目录调整决策支持体系建设研究</w:t>
      </w:r>
    </w:p>
    <w:p>
      <w:pPr>
        <w:pStyle w:val="5"/>
        <w:keepNext w:val="0"/>
        <w:keepLines w:val="0"/>
        <w:pageBreakBefore w:val="0"/>
        <w:widowControl w:val="0"/>
        <w:kinsoku/>
        <w:wordWrap/>
        <w:topLinePunct w:val="0"/>
        <w:bidi w:val="0"/>
        <w:adjustRightInd w:val="0"/>
        <w:snapToGrid w:val="0"/>
        <w:spacing w:after="0" w:line="360" w:lineRule="auto"/>
        <w:ind w:firstLine="600"/>
        <w:textAlignment w:val="auto"/>
        <w:rPr>
          <w:rFonts w:ascii="Times New Roman" w:eastAsia="仿宋_GB2312"/>
          <w:spacing w:val="0"/>
          <w:sz w:val="30"/>
          <w:szCs w:val="30"/>
        </w:rPr>
      </w:pPr>
      <w:r>
        <w:rPr>
          <w:rFonts w:hint="eastAsia" w:ascii="Times New Roman" w:eastAsia="仿宋_GB2312"/>
          <w:spacing w:val="0"/>
          <w:sz w:val="30"/>
          <w:szCs w:val="30"/>
        </w:rPr>
        <w:t>卫生技术评估（HTA）及药物经济学（P</w:t>
      </w:r>
      <w:r>
        <w:rPr>
          <w:rFonts w:ascii="Times New Roman" w:eastAsia="仿宋_GB2312"/>
          <w:spacing w:val="0"/>
          <w:sz w:val="30"/>
          <w:szCs w:val="30"/>
        </w:rPr>
        <w:t>E</w:t>
      </w:r>
      <w:r>
        <w:rPr>
          <w:rFonts w:hint="eastAsia" w:ascii="Times New Roman" w:eastAsia="仿宋_GB2312"/>
          <w:spacing w:val="0"/>
          <w:sz w:val="30"/>
          <w:szCs w:val="30"/>
        </w:rPr>
        <w:t>）等技术评价手段在国际主流国家的医药卫生政策制定中得到广泛应用。为更好地服务于医保目录调整决策这项工作，有必要明确医保购买决策的价值框架和评价标准，建立适应我国医疗保障体制和医药卫生体制的H</w:t>
      </w:r>
      <w:r>
        <w:rPr>
          <w:rFonts w:ascii="Times New Roman" w:eastAsia="仿宋_GB2312"/>
          <w:spacing w:val="0"/>
          <w:sz w:val="30"/>
          <w:szCs w:val="30"/>
        </w:rPr>
        <w:t>TA</w:t>
      </w:r>
      <w:r>
        <w:rPr>
          <w:rFonts w:hint="eastAsia" w:ascii="Times New Roman" w:eastAsia="仿宋_GB2312"/>
          <w:spacing w:val="0"/>
          <w:sz w:val="30"/>
          <w:szCs w:val="30"/>
        </w:rPr>
        <w:t>和PE评价的技术标准体系，从而能更加高效地产生和获取符合决策需要且科学客观的证据基础，提出符合目录调整价值目标的决策建议，也将为我国HTA和P</w:t>
      </w:r>
      <w:r>
        <w:rPr>
          <w:rFonts w:ascii="Times New Roman" w:eastAsia="仿宋_GB2312"/>
          <w:spacing w:val="0"/>
          <w:sz w:val="30"/>
          <w:szCs w:val="30"/>
        </w:rPr>
        <w:t>E</w:t>
      </w:r>
      <w:r>
        <w:rPr>
          <w:rFonts w:hint="eastAsia" w:ascii="Times New Roman" w:eastAsia="仿宋_GB2312"/>
          <w:spacing w:val="0"/>
          <w:sz w:val="30"/>
          <w:szCs w:val="30"/>
        </w:rPr>
        <w:t>等学科发展和研究成果的转化提供广</w:t>
      </w:r>
      <w:r>
        <w:rPr>
          <w:rFonts w:hint="eastAsia" w:ascii="仿宋_GB2312" w:hAnsi="仿宋" w:eastAsia="仿宋_GB2312"/>
          <w:sz w:val="28"/>
          <w:szCs w:val="28"/>
        </w:rPr>
        <w:t>阔空间。</w:t>
      </w:r>
    </w:p>
    <w:p>
      <w:pPr>
        <w:pStyle w:val="5"/>
        <w:keepNext w:val="0"/>
        <w:keepLines w:val="0"/>
        <w:pageBreakBefore w:val="0"/>
        <w:widowControl w:val="0"/>
        <w:kinsoku/>
        <w:wordWrap/>
        <w:topLinePunct w:val="0"/>
        <w:bidi w:val="0"/>
        <w:adjustRightInd w:val="0"/>
        <w:snapToGrid w:val="0"/>
        <w:spacing w:after="0" w:line="360" w:lineRule="auto"/>
        <w:ind w:firstLine="600"/>
        <w:textAlignment w:val="auto"/>
        <w:outlineLvl w:val="0"/>
        <w:rPr>
          <w:rFonts w:ascii="Times New Roman" w:eastAsia="仿宋_GB2312"/>
          <w:spacing w:val="0"/>
          <w:sz w:val="30"/>
          <w:szCs w:val="30"/>
        </w:rPr>
      </w:pPr>
      <w:r>
        <w:rPr>
          <w:rFonts w:ascii="Times New Roman" w:eastAsia="仿宋_GB2312"/>
          <w:spacing w:val="0"/>
          <w:sz w:val="30"/>
          <w:szCs w:val="30"/>
        </w:rPr>
        <w:t>2.关于本任务</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600" w:firstLineChars="200"/>
        <w:jc w:val="both"/>
        <w:textAlignment w:val="auto"/>
        <w:outlineLvl w:val="0"/>
        <w:rPr>
          <w:rFonts w:ascii="Times New Roman" w:eastAsia="仿宋_GB2312"/>
          <w:sz w:val="30"/>
          <w:szCs w:val="30"/>
        </w:rPr>
      </w:pPr>
      <w:r>
        <w:rPr>
          <w:rFonts w:hint="eastAsia" w:ascii="Times New Roman" w:hAnsi="Times New Roman" w:eastAsia="仿宋_GB2312"/>
          <w:kern w:val="0"/>
          <w:sz w:val="30"/>
          <w:szCs w:val="30"/>
        </w:rPr>
        <w:t>我国在近年来的医保目录调整中，开始引入卫生技术评估手段。但将评估结果与医保实际应用和真实决策对接还存在问题；医保目录调整中亟需价值评估框架和量化标准；而我国HTA和PE研究本身还处于发展的初级阶段，研究方法和规范尚未统一</w:t>
      </w:r>
      <w:r>
        <w:rPr>
          <w:rFonts w:hint="eastAsia" w:ascii="Times New Roman" w:eastAsia="仿宋_GB2312"/>
          <w:kern w:val="0"/>
          <w:sz w:val="30"/>
          <w:szCs w:val="30"/>
        </w:rPr>
        <w:t>等</w:t>
      </w:r>
      <w:r>
        <w:rPr>
          <w:rFonts w:ascii="Times New Roman" w:eastAsia="仿宋_GB2312"/>
          <w:sz w:val="30"/>
          <w:szCs w:val="30"/>
        </w:rPr>
        <w:t>。</w:t>
      </w:r>
      <w:r>
        <w:rPr>
          <w:rFonts w:hint="eastAsia" w:ascii="Times New Roman" w:eastAsia="仿宋_GB2312"/>
          <w:sz w:val="30"/>
          <w:szCs w:val="30"/>
          <w:lang w:eastAsia="zh-CN"/>
        </w:rPr>
        <w:t>医药管理司</w:t>
      </w:r>
      <w:r>
        <w:rPr>
          <w:rFonts w:ascii="Times New Roman" w:eastAsia="仿宋_GB2312"/>
          <w:sz w:val="30"/>
          <w:szCs w:val="30"/>
        </w:rPr>
        <w:t>希望通过本任务——</w:t>
      </w:r>
      <w:r>
        <w:rPr>
          <w:rFonts w:hint="eastAsia" w:ascii="Times New Roman" w:eastAsia="仿宋_GB2312"/>
          <w:sz w:val="30"/>
          <w:szCs w:val="30"/>
        </w:rPr>
        <w:t>用</w:t>
      </w:r>
      <w:r>
        <w:rPr>
          <w:rFonts w:hint="eastAsia" w:ascii="Times New Roman" w:hAnsi="Times New Roman" w:eastAsia="仿宋_GB2312"/>
          <w:kern w:val="0"/>
          <w:sz w:val="30"/>
          <w:szCs w:val="30"/>
        </w:rPr>
        <w:t>于支持医保目录调整等决策的HTA技术标准应用研究</w:t>
      </w:r>
      <w:r>
        <w:rPr>
          <w:rFonts w:ascii="Times New Roman" w:eastAsia="仿宋_GB2312"/>
          <w:sz w:val="30"/>
          <w:szCs w:val="30"/>
        </w:rPr>
        <w:t>，</w:t>
      </w:r>
      <w:r>
        <w:rPr>
          <w:rFonts w:hint="eastAsia" w:ascii="Times New Roman" w:eastAsia="仿宋_GB2312"/>
          <w:sz w:val="30"/>
          <w:szCs w:val="30"/>
        </w:rPr>
        <w:t>建立符合我国国情和医保目录调整需要的卫生技术评估体系标准</w:t>
      </w:r>
      <w:r>
        <w:rPr>
          <w:rFonts w:ascii="Times New Roman" w:eastAsia="仿宋_GB2312"/>
          <w:sz w:val="30"/>
          <w:szCs w:val="30"/>
        </w:rPr>
        <w:t>。</w:t>
      </w:r>
    </w:p>
    <w:p>
      <w:pPr>
        <w:pStyle w:val="5"/>
        <w:keepNext w:val="0"/>
        <w:keepLines w:val="0"/>
        <w:pageBreakBefore w:val="0"/>
        <w:widowControl w:val="0"/>
        <w:kinsoku/>
        <w:wordWrap/>
        <w:topLinePunct w:val="0"/>
        <w:bidi w:val="0"/>
        <w:adjustRightInd w:val="0"/>
        <w:snapToGrid w:val="0"/>
        <w:spacing w:after="0" w:line="360" w:lineRule="auto"/>
        <w:ind w:firstLine="600"/>
        <w:textAlignment w:val="auto"/>
        <w:rPr>
          <w:rFonts w:ascii="黑体" w:hAnsi="黑体" w:eastAsia="黑体" w:cs="黑体"/>
          <w:spacing w:val="0"/>
          <w:sz w:val="30"/>
          <w:szCs w:val="30"/>
        </w:rPr>
      </w:pPr>
      <w:r>
        <w:rPr>
          <w:rFonts w:ascii="黑体" w:hAnsi="黑体" w:eastAsia="黑体" w:cs="黑体"/>
          <w:spacing w:val="0"/>
          <w:sz w:val="30"/>
          <w:szCs w:val="30"/>
        </w:rPr>
        <w:t>二、工作目标和范围</w:t>
      </w:r>
    </w:p>
    <w:p>
      <w:pPr>
        <w:pStyle w:val="5"/>
        <w:keepNext w:val="0"/>
        <w:keepLines w:val="0"/>
        <w:pageBreakBefore w:val="0"/>
        <w:widowControl w:val="0"/>
        <w:kinsoku/>
        <w:wordWrap/>
        <w:topLinePunct w:val="0"/>
        <w:bidi w:val="0"/>
        <w:adjustRightInd w:val="0"/>
        <w:snapToGrid w:val="0"/>
        <w:spacing w:after="0" w:line="360" w:lineRule="auto"/>
        <w:ind w:firstLine="600"/>
        <w:textAlignment w:val="auto"/>
        <w:rPr>
          <w:rFonts w:ascii="Times New Roman" w:eastAsia="仿宋_GB2312"/>
          <w:spacing w:val="0"/>
          <w:sz w:val="30"/>
          <w:szCs w:val="30"/>
        </w:rPr>
      </w:pPr>
      <w:r>
        <w:rPr>
          <w:rFonts w:ascii="Times New Roman" w:eastAsia="仿宋_GB2312"/>
          <w:spacing w:val="0"/>
          <w:sz w:val="30"/>
          <w:szCs w:val="30"/>
        </w:rPr>
        <w:t>1.目标</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600" w:firstLineChars="200"/>
        <w:jc w:val="left"/>
        <w:textAlignment w:val="auto"/>
        <w:outlineLvl w:val="0"/>
        <w:rPr>
          <w:rFonts w:ascii="Times New Roman" w:eastAsia="仿宋_GB2312"/>
          <w:kern w:val="0"/>
          <w:sz w:val="30"/>
          <w:szCs w:val="30"/>
        </w:rPr>
      </w:pPr>
      <w:r>
        <w:rPr>
          <w:rFonts w:hint="eastAsia" w:ascii="Times New Roman" w:eastAsia="仿宋_GB2312"/>
          <w:kern w:val="0"/>
          <w:sz w:val="30"/>
          <w:szCs w:val="30"/>
        </w:rPr>
        <w:t>本任务旨在通过对国内外HTA技术发展在医保领域的应用情况进行回顾性评估，梳理国际经验，并结合国情进行分析，多个角度提出价值评判的维度和依据，形成我国医保药品目录调整的价值框架和评价指标体系。同时，通过研究对用于支持医保目录调整的H</w:t>
      </w:r>
      <w:r>
        <w:rPr>
          <w:rFonts w:ascii="Times New Roman" w:eastAsia="仿宋_GB2312"/>
          <w:kern w:val="0"/>
          <w:sz w:val="30"/>
          <w:szCs w:val="30"/>
        </w:rPr>
        <w:t>TA</w:t>
      </w:r>
      <w:r>
        <w:rPr>
          <w:rFonts w:hint="eastAsia" w:ascii="Times New Roman" w:eastAsia="仿宋_GB2312"/>
          <w:kern w:val="0"/>
          <w:sz w:val="30"/>
          <w:szCs w:val="30"/>
        </w:rPr>
        <w:t>证据产生的方法、规范、流程等技术标准加以明确，开发将HTA证据纳入决策依据和过程的循证决策方法和程序，完善我国医保目录调整决策的机制和流程。</w:t>
      </w:r>
    </w:p>
    <w:p>
      <w:pPr>
        <w:pStyle w:val="5"/>
        <w:keepNext w:val="0"/>
        <w:keepLines w:val="0"/>
        <w:pageBreakBefore w:val="0"/>
        <w:widowControl w:val="0"/>
        <w:kinsoku/>
        <w:wordWrap/>
        <w:topLinePunct w:val="0"/>
        <w:bidi w:val="0"/>
        <w:adjustRightInd w:val="0"/>
        <w:snapToGrid w:val="0"/>
        <w:spacing w:after="0" w:line="360" w:lineRule="auto"/>
        <w:ind w:firstLine="600"/>
        <w:textAlignment w:val="auto"/>
        <w:outlineLvl w:val="0"/>
        <w:rPr>
          <w:rFonts w:ascii="Times New Roman" w:eastAsia="仿宋_GB2312"/>
          <w:spacing w:val="0"/>
          <w:sz w:val="30"/>
          <w:szCs w:val="30"/>
        </w:rPr>
      </w:pPr>
      <w:r>
        <w:rPr>
          <w:rFonts w:ascii="Times New Roman" w:eastAsia="仿宋_GB2312"/>
          <w:spacing w:val="0"/>
          <w:sz w:val="30"/>
          <w:szCs w:val="30"/>
        </w:rPr>
        <w:t>2.范围</w:t>
      </w:r>
    </w:p>
    <w:p>
      <w:pPr>
        <w:pStyle w:val="5"/>
        <w:keepNext w:val="0"/>
        <w:keepLines w:val="0"/>
        <w:pageBreakBefore w:val="0"/>
        <w:widowControl w:val="0"/>
        <w:kinsoku/>
        <w:wordWrap/>
        <w:topLinePunct w:val="0"/>
        <w:bidi w:val="0"/>
        <w:adjustRightInd w:val="0"/>
        <w:snapToGrid w:val="0"/>
        <w:spacing w:after="0" w:line="360" w:lineRule="auto"/>
        <w:ind w:firstLine="600"/>
        <w:textAlignment w:val="auto"/>
        <w:rPr>
          <w:rFonts w:ascii="Times New Roman" w:eastAsia="仿宋_GB2312"/>
          <w:spacing w:val="0"/>
          <w:sz w:val="30"/>
          <w:szCs w:val="30"/>
        </w:rPr>
      </w:pPr>
      <w:r>
        <w:rPr>
          <w:rFonts w:ascii="Times New Roman" w:eastAsia="仿宋_GB2312"/>
          <w:spacing w:val="0"/>
          <w:sz w:val="30"/>
          <w:szCs w:val="30"/>
        </w:rPr>
        <w:t>根据上述目标，本项任务的研究范围包括但不限于：</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600" w:firstLineChars="200"/>
        <w:jc w:val="both"/>
        <w:textAlignment w:val="auto"/>
        <w:outlineLvl w:val="0"/>
        <w:rPr>
          <w:rFonts w:ascii="Times New Roman" w:eastAsia="仿宋_GB2312"/>
          <w:kern w:val="0"/>
          <w:sz w:val="30"/>
          <w:szCs w:val="30"/>
        </w:rPr>
      </w:pPr>
      <w:r>
        <w:rPr>
          <w:rFonts w:hint="eastAsia" w:ascii="Times New Roman" w:eastAsia="仿宋_GB2312"/>
          <w:kern w:val="0"/>
          <w:sz w:val="30"/>
          <w:szCs w:val="30"/>
        </w:rPr>
        <w:t>（1）对国内外HTA技术发展在医保领域的应用情况进行回顾性评估，</w:t>
      </w:r>
      <w:r>
        <w:rPr>
          <w:rFonts w:hint="eastAsia" w:ascii="Times New Roman" w:eastAsia="仿宋_GB2312"/>
          <w:kern w:val="0"/>
          <w:sz w:val="30"/>
          <w:szCs w:val="30"/>
          <w:lang w:eastAsia="zh-CN"/>
        </w:rPr>
        <w:t>研究至少</w:t>
      </w:r>
      <w:r>
        <w:rPr>
          <w:rFonts w:hint="eastAsia" w:ascii="Times New Roman" w:eastAsia="仿宋_GB2312"/>
          <w:kern w:val="0"/>
          <w:sz w:val="30"/>
          <w:szCs w:val="30"/>
          <w:lang w:val="en-US" w:eastAsia="zh-CN"/>
        </w:rPr>
        <w:t>5个境外国家或地区（包括</w:t>
      </w:r>
      <w:r>
        <w:rPr>
          <w:rFonts w:hint="eastAsia" w:ascii="Times New Roman" w:eastAsia="仿宋_GB2312"/>
          <w:kern w:val="0"/>
          <w:sz w:val="30"/>
          <w:szCs w:val="30"/>
          <w:lang w:eastAsia="zh-CN"/>
        </w:rPr>
        <w:t>但不限于英国、加拿大、德国等国</w:t>
      </w:r>
      <w:r>
        <w:rPr>
          <w:rFonts w:hint="eastAsia" w:ascii="Times New Roman" w:eastAsia="仿宋_GB2312"/>
          <w:kern w:val="0"/>
          <w:sz w:val="30"/>
          <w:szCs w:val="30"/>
          <w:lang w:val="en-US" w:eastAsia="zh-CN"/>
        </w:rPr>
        <w:t>）</w:t>
      </w:r>
      <w:r>
        <w:rPr>
          <w:rFonts w:hint="eastAsia" w:ascii="Times New Roman" w:eastAsia="仿宋_GB2312"/>
          <w:kern w:val="0"/>
          <w:sz w:val="30"/>
          <w:szCs w:val="30"/>
          <w:lang w:eastAsia="zh-CN"/>
        </w:rPr>
        <w:t>相关政策的</w:t>
      </w:r>
      <w:r>
        <w:rPr>
          <w:rFonts w:hint="eastAsia" w:ascii="Times New Roman" w:eastAsia="仿宋_GB2312"/>
          <w:kern w:val="0"/>
          <w:sz w:val="30"/>
          <w:szCs w:val="30"/>
        </w:rPr>
        <w:t>形成背景、应用方法、绩效评估等，总结国内外成效和问题，提出可以借鉴的机制和标准。</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600" w:firstLineChars="200"/>
        <w:jc w:val="both"/>
        <w:textAlignment w:val="auto"/>
        <w:outlineLvl w:val="0"/>
        <w:rPr>
          <w:rFonts w:ascii="Times New Roman" w:eastAsia="仿宋_GB2312"/>
          <w:kern w:val="0"/>
          <w:sz w:val="30"/>
          <w:szCs w:val="30"/>
        </w:rPr>
      </w:pPr>
      <w:r>
        <w:rPr>
          <w:rFonts w:hint="eastAsia" w:ascii="Times New Roman" w:eastAsia="仿宋_GB2312"/>
          <w:kern w:val="0"/>
          <w:sz w:val="30"/>
          <w:szCs w:val="30"/>
        </w:rPr>
        <w:t>（2）从我国国情出发，结合患者、医疗保障体系、社会等多个角度提出HTA用于医保目录价值评判的维度和依据，形成适用于医保目录调整的HTA评价指标体系。</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600" w:firstLineChars="200"/>
        <w:jc w:val="both"/>
        <w:textAlignment w:val="auto"/>
        <w:outlineLvl w:val="0"/>
        <w:rPr>
          <w:rFonts w:ascii="Times New Roman" w:eastAsia="仿宋_GB2312"/>
          <w:kern w:val="0"/>
          <w:sz w:val="30"/>
          <w:szCs w:val="30"/>
        </w:rPr>
      </w:pPr>
      <w:r>
        <w:rPr>
          <w:rFonts w:hint="eastAsia" w:ascii="Times New Roman" w:eastAsia="仿宋_GB2312"/>
          <w:kern w:val="0"/>
          <w:sz w:val="30"/>
          <w:szCs w:val="30"/>
        </w:rPr>
        <w:t>（3）对用于支撑我国医保目录调整决策的HTA证据产生的方法、规范、流程等技术标准加以明确。对各方所提交的HTA和PE评价证据的研究角度、资料来源、技术标准、报告方式等予以标准化规定，形成证据递交指南。并在此基础上，对证据评审的内容、程序和标准明确界定，制定证据评审的指南和准则。</w:t>
      </w:r>
    </w:p>
    <w:p>
      <w:pPr>
        <w:keepNext w:val="0"/>
        <w:keepLines w:val="0"/>
        <w:pageBreakBefore w:val="0"/>
        <w:widowControl w:val="0"/>
        <w:kinsoku/>
        <w:wordWrap/>
        <w:overflowPunct w:val="0"/>
        <w:topLinePunct w:val="0"/>
        <w:autoSpaceDE w:val="0"/>
        <w:autoSpaceDN w:val="0"/>
        <w:bidi w:val="0"/>
        <w:adjustRightInd w:val="0"/>
        <w:snapToGrid w:val="0"/>
        <w:spacing w:line="360" w:lineRule="auto"/>
        <w:ind w:firstLine="600" w:firstLineChars="200"/>
        <w:jc w:val="both"/>
        <w:textAlignment w:val="auto"/>
        <w:outlineLvl w:val="0"/>
        <w:rPr>
          <w:rFonts w:ascii="Times New Roman" w:eastAsia="仿宋_GB2312"/>
          <w:kern w:val="0"/>
          <w:sz w:val="30"/>
          <w:szCs w:val="30"/>
        </w:rPr>
      </w:pPr>
      <w:r>
        <w:rPr>
          <w:rFonts w:hint="eastAsia" w:ascii="Times New Roman" w:eastAsia="仿宋_GB2312"/>
          <w:kern w:val="0"/>
          <w:sz w:val="30"/>
          <w:szCs w:val="30"/>
        </w:rPr>
        <w:t>（4）将形成基于HTA的医保目录调整决策支持技术框架。对当前医保准入和谈判的方法和流程进行梳理和分析，结合相关理论，开发将HTA证据纳入决策依据和过程的循证决策方法和程序，对我国医保目录调整决策的机制和流程的完善提出政策建议和优化方案。</w:t>
      </w:r>
    </w:p>
    <w:p>
      <w:pPr>
        <w:pStyle w:val="5"/>
        <w:keepNext w:val="0"/>
        <w:keepLines w:val="0"/>
        <w:pageBreakBefore w:val="0"/>
        <w:widowControl w:val="0"/>
        <w:kinsoku/>
        <w:wordWrap/>
        <w:topLinePunct w:val="0"/>
        <w:bidi w:val="0"/>
        <w:adjustRightInd w:val="0"/>
        <w:snapToGrid w:val="0"/>
        <w:spacing w:after="0" w:line="360" w:lineRule="auto"/>
        <w:ind w:firstLine="600"/>
        <w:textAlignment w:val="auto"/>
        <w:outlineLvl w:val="0"/>
        <w:rPr>
          <w:rFonts w:ascii="Times New Roman" w:eastAsia="仿宋_GB2312"/>
          <w:spacing w:val="0"/>
          <w:sz w:val="30"/>
          <w:szCs w:val="30"/>
        </w:rPr>
      </w:pPr>
      <w:r>
        <w:rPr>
          <w:rFonts w:ascii="Times New Roman" w:eastAsia="仿宋_GB2312"/>
          <w:spacing w:val="0"/>
          <w:sz w:val="30"/>
          <w:szCs w:val="30"/>
        </w:rPr>
        <w:t>3.方法</w:t>
      </w:r>
    </w:p>
    <w:p>
      <w:pPr>
        <w:pStyle w:val="5"/>
        <w:keepNext w:val="0"/>
        <w:keepLines w:val="0"/>
        <w:pageBreakBefore w:val="0"/>
        <w:widowControl w:val="0"/>
        <w:kinsoku/>
        <w:wordWrap/>
        <w:topLinePunct w:val="0"/>
        <w:bidi w:val="0"/>
        <w:adjustRightInd w:val="0"/>
        <w:snapToGrid w:val="0"/>
        <w:spacing w:after="0" w:line="360" w:lineRule="auto"/>
        <w:ind w:firstLine="600"/>
        <w:textAlignment w:val="auto"/>
        <w:rPr>
          <w:rFonts w:ascii="Times New Roman" w:eastAsia="仿宋_GB2312"/>
          <w:spacing w:val="0"/>
          <w:sz w:val="30"/>
          <w:szCs w:val="30"/>
        </w:rPr>
      </w:pPr>
      <w:r>
        <w:rPr>
          <w:rFonts w:ascii="Times New Roman" w:eastAsia="仿宋_GB2312"/>
          <w:spacing w:val="0"/>
          <w:sz w:val="30"/>
          <w:szCs w:val="30"/>
        </w:rPr>
        <w:t>承担本任务的咨询机构（专家）应结合工作目标和范围，综合运用文献分析、国别比较、</w:t>
      </w:r>
      <w:r>
        <w:rPr>
          <w:rFonts w:hint="default" w:ascii="Times New Roman" w:hAnsi="Times New Roman" w:eastAsia="仿宋_GB2312" w:cs="Times New Roman"/>
          <w:spacing w:val="0"/>
          <w:sz w:val="30"/>
          <w:szCs w:val="30"/>
        </w:rPr>
        <w:t>问卷调查、</w:t>
      </w:r>
      <w:r>
        <w:rPr>
          <w:rFonts w:ascii="Times New Roman" w:eastAsia="仿宋_GB2312"/>
          <w:spacing w:val="0"/>
          <w:sz w:val="30"/>
          <w:szCs w:val="30"/>
        </w:rPr>
        <w:t>专题研讨</w:t>
      </w:r>
      <w:r>
        <w:rPr>
          <w:rFonts w:hint="eastAsia" w:ascii="Times New Roman" w:eastAsia="仿宋_GB2312"/>
          <w:spacing w:val="0"/>
          <w:sz w:val="30"/>
          <w:szCs w:val="30"/>
        </w:rPr>
        <w:t>和调研</w:t>
      </w:r>
      <w:r>
        <w:rPr>
          <w:rFonts w:ascii="Times New Roman" w:eastAsia="仿宋_GB2312"/>
          <w:spacing w:val="0"/>
          <w:sz w:val="30"/>
          <w:szCs w:val="30"/>
        </w:rPr>
        <w:t>等方法，在梳理国内外相关学术观点、相关资料和经验的基础上，进行</w:t>
      </w:r>
      <w:r>
        <w:rPr>
          <w:rFonts w:hint="eastAsia" w:ascii="Times New Roman" w:eastAsia="仿宋_GB2312"/>
          <w:spacing w:val="0"/>
          <w:sz w:val="30"/>
          <w:szCs w:val="30"/>
        </w:rPr>
        <w:t>HTA用于医保目录调整</w:t>
      </w:r>
      <w:r>
        <w:rPr>
          <w:rFonts w:ascii="Times New Roman" w:eastAsia="仿宋_GB2312"/>
          <w:spacing w:val="0"/>
          <w:sz w:val="30"/>
          <w:szCs w:val="30"/>
        </w:rPr>
        <w:t>体系研究。</w:t>
      </w:r>
    </w:p>
    <w:p>
      <w:pPr>
        <w:pStyle w:val="5"/>
        <w:keepNext w:val="0"/>
        <w:keepLines w:val="0"/>
        <w:pageBreakBefore w:val="0"/>
        <w:widowControl w:val="0"/>
        <w:kinsoku/>
        <w:wordWrap/>
        <w:topLinePunct w:val="0"/>
        <w:bidi w:val="0"/>
        <w:adjustRightInd w:val="0"/>
        <w:snapToGrid w:val="0"/>
        <w:spacing w:after="0" w:line="360" w:lineRule="auto"/>
        <w:ind w:firstLine="600"/>
        <w:textAlignment w:val="auto"/>
        <w:rPr>
          <w:rFonts w:ascii="黑体" w:hAnsi="黑体" w:eastAsia="黑体" w:cs="黑体"/>
          <w:spacing w:val="0"/>
          <w:sz w:val="30"/>
          <w:szCs w:val="30"/>
        </w:rPr>
      </w:pPr>
      <w:r>
        <w:rPr>
          <w:rFonts w:ascii="黑体" w:hAnsi="黑体" w:eastAsia="黑体" w:cs="黑体"/>
          <w:spacing w:val="0"/>
          <w:sz w:val="30"/>
          <w:szCs w:val="30"/>
        </w:rPr>
        <w:t>三、专业资历</w:t>
      </w:r>
    </w:p>
    <w:p>
      <w:pPr>
        <w:pStyle w:val="5"/>
        <w:keepNext w:val="0"/>
        <w:keepLines w:val="0"/>
        <w:pageBreakBefore w:val="0"/>
        <w:widowControl w:val="0"/>
        <w:kinsoku/>
        <w:wordWrap/>
        <w:topLinePunct w:val="0"/>
        <w:bidi w:val="0"/>
        <w:adjustRightInd w:val="0"/>
        <w:snapToGrid w:val="0"/>
        <w:spacing w:after="0" w:line="360" w:lineRule="auto"/>
        <w:ind w:firstLine="600"/>
        <w:textAlignment w:val="auto"/>
        <w:rPr>
          <w:rFonts w:ascii="Times New Roman" w:eastAsia="仿宋_GB2312"/>
          <w:sz w:val="30"/>
          <w:szCs w:val="30"/>
        </w:rPr>
      </w:pPr>
      <w:r>
        <w:rPr>
          <w:rFonts w:ascii="Times New Roman" w:eastAsia="仿宋_GB2312"/>
          <w:spacing w:val="0"/>
          <w:sz w:val="30"/>
          <w:szCs w:val="30"/>
        </w:rPr>
        <w:t>拟参与竞争的咨询机构</w:t>
      </w:r>
      <w:r>
        <w:rPr>
          <w:rFonts w:hint="eastAsia" w:ascii="Times New Roman" w:eastAsia="仿宋_GB2312"/>
          <w:spacing w:val="0"/>
          <w:sz w:val="30"/>
          <w:szCs w:val="30"/>
        </w:rPr>
        <w:t>应为国内大学或研究机构，</w:t>
      </w:r>
      <w:r>
        <w:rPr>
          <w:rFonts w:ascii="Times New Roman" w:eastAsia="仿宋_GB2312"/>
          <w:spacing w:val="0"/>
          <w:sz w:val="30"/>
          <w:szCs w:val="30"/>
        </w:rPr>
        <w:t>应当在</w:t>
      </w:r>
      <w:r>
        <w:rPr>
          <w:rFonts w:hint="eastAsia" w:ascii="Times New Roman" w:eastAsia="仿宋_GB2312"/>
          <w:spacing w:val="0"/>
          <w:sz w:val="30"/>
          <w:szCs w:val="30"/>
          <w:lang w:val="en-US" w:eastAsia="zh-CN"/>
        </w:rPr>
        <w:t>HTA</w:t>
      </w:r>
      <w:r>
        <w:rPr>
          <w:rFonts w:hint="eastAsia" w:ascii="Times New Roman" w:eastAsia="仿宋_GB2312"/>
          <w:spacing w:val="0"/>
          <w:sz w:val="30"/>
          <w:szCs w:val="30"/>
          <w:lang w:eastAsia="zh-CN"/>
        </w:rPr>
        <w:t>和</w:t>
      </w:r>
      <w:r>
        <w:rPr>
          <w:rFonts w:hint="eastAsia" w:ascii="Times New Roman" w:eastAsia="仿宋_GB2312"/>
          <w:spacing w:val="0"/>
          <w:sz w:val="30"/>
          <w:szCs w:val="30"/>
          <w:lang w:val="en-US" w:eastAsia="zh-CN"/>
        </w:rPr>
        <w:t>PE</w:t>
      </w:r>
      <w:r>
        <w:rPr>
          <w:rFonts w:hint="eastAsia" w:ascii="Times New Roman" w:eastAsia="仿宋_GB2312"/>
          <w:spacing w:val="0"/>
          <w:sz w:val="30"/>
          <w:szCs w:val="30"/>
          <w:lang w:eastAsia="zh-CN"/>
        </w:rPr>
        <w:t>研究</w:t>
      </w:r>
      <w:r>
        <w:rPr>
          <w:rFonts w:ascii="Times New Roman" w:eastAsia="仿宋_GB2312"/>
          <w:spacing w:val="0"/>
          <w:sz w:val="30"/>
          <w:szCs w:val="30"/>
        </w:rPr>
        <w:t>相关领域具备充足的研究力量和资源储备</w:t>
      </w:r>
      <w:r>
        <w:rPr>
          <w:rFonts w:hint="eastAsia" w:ascii="Times New Roman" w:eastAsia="仿宋_GB2312"/>
          <w:spacing w:val="0"/>
          <w:sz w:val="30"/>
          <w:szCs w:val="30"/>
          <w:lang w:eastAsia="zh-CN"/>
        </w:rPr>
        <w:t>；具备</w:t>
      </w:r>
      <w:r>
        <w:rPr>
          <w:rFonts w:hint="eastAsia" w:ascii="Times New Roman" w:eastAsia="仿宋_GB2312"/>
          <w:spacing w:val="0"/>
          <w:sz w:val="30"/>
          <w:szCs w:val="30"/>
          <w:lang w:val="en-US" w:eastAsia="zh-CN"/>
        </w:rPr>
        <w:t>HTA</w:t>
      </w:r>
      <w:r>
        <w:rPr>
          <w:rFonts w:hint="eastAsia" w:ascii="Times New Roman" w:eastAsia="仿宋_GB2312"/>
          <w:spacing w:val="0"/>
          <w:sz w:val="30"/>
          <w:szCs w:val="30"/>
          <w:lang w:eastAsia="zh-CN"/>
        </w:rPr>
        <w:t>和医保政策研究的国际经验，能够依靠本身的国际资源获取前沿国家的相关资料和数据；</w:t>
      </w:r>
      <w:r>
        <w:rPr>
          <w:rFonts w:hint="eastAsia" w:ascii="Times New Roman" w:eastAsia="仿宋_GB2312"/>
          <w:sz w:val="30"/>
          <w:szCs w:val="30"/>
        </w:rPr>
        <w:t>熟悉我国</w:t>
      </w:r>
      <w:r>
        <w:rPr>
          <w:rFonts w:hint="eastAsia" w:ascii="Times New Roman" w:eastAsia="仿宋_GB2312"/>
          <w:sz w:val="30"/>
          <w:szCs w:val="30"/>
          <w:lang w:eastAsia="zh-CN"/>
        </w:rPr>
        <w:t>当前</w:t>
      </w:r>
      <w:r>
        <w:rPr>
          <w:rFonts w:hint="eastAsia" w:ascii="Times New Roman" w:eastAsia="仿宋_GB2312"/>
          <w:sz w:val="30"/>
          <w:szCs w:val="30"/>
        </w:rPr>
        <w:t>医保目录调整的程序与相关技术方法</w:t>
      </w:r>
      <w:r>
        <w:rPr>
          <w:rFonts w:ascii="Times New Roman" w:eastAsia="仿宋_GB2312"/>
          <w:sz w:val="30"/>
          <w:szCs w:val="30"/>
        </w:rPr>
        <w:t>。</w:t>
      </w:r>
      <w:r>
        <w:rPr>
          <w:rFonts w:hint="eastAsia" w:ascii="Times New Roman" w:eastAsia="仿宋_GB2312"/>
          <w:spacing w:val="0"/>
          <w:sz w:val="30"/>
          <w:szCs w:val="30"/>
          <w:lang w:eastAsia="zh-CN"/>
        </w:rPr>
        <w:t>应</w:t>
      </w:r>
      <w:r>
        <w:rPr>
          <w:rFonts w:ascii="Times New Roman" w:eastAsia="仿宋_GB2312"/>
          <w:spacing w:val="0"/>
          <w:sz w:val="30"/>
          <w:szCs w:val="30"/>
        </w:rPr>
        <w:t>当根据本任务的工作目标和范围，组织有水平、有经验、有兴趣的咨询专家组成</w:t>
      </w:r>
      <w:r>
        <w:rPr>
          <w:rFonts w:hint="eastAsia" w:ascii="Times New Roman" w:eastAsia="仿宋_GB2312"/>
          <w:spacing w:val="0"/>
          <w:sz w:val="30"/>
          <w:szCs w:val="30"/>
          <w:lang w:val="en-US" w:eastAsia="zh-CN"/>
        </w:rPr>
        <w:t>10人以上的</w:t>
      </w:r>
      <w:r>
        <w:rPr>
          <w:rFonts w:ascii="Times New Roman" w:eastAsia="仿宋_GB2312"/>
          <w:spacing w:val="0"/>
          <w:sz w:val="30"/>
          <w:szCs w:val="30"/>
        </w:rPr>
        <w:t>研究团队</w:t>
      </w:r>
      <w:r>
        <w:rPr>
          <w:rFonts w:hint="eastAsia" w:ascii="Times New Roman" w:eastAsia="仿宋_GB2312"/>
          <w:spacing w:val="0"/>
          <w:sz w:val="30"/>
          <w:szCs w:val="30"/>
          <w:lang w:eastAsia="zh-CN"/>
        </w:rPr>
        <w:t>，并至少具备</w:t>
      </w:r>
      <w:r>
        <w:rPr>
          <w:rFonts w:hint="eastAsia" w:ascii="Times New Roman" w:eastAsia="仿宋_GB2312"/>
          <w:spacing w:val="0"/>
          <w:sz w:val="30"/>
          <w:szCs w:val="30"/>
          <w:lang w:val="en-US" w:eastAsia="zh-CN"/>
        </w:rPr>
        <w:t>3名正高级职称领域专家</w:t>
      </w:r>
      <w:r>
        <w:rPr>
          <w:rFonts w:ascii="Times New Roman" w:eastAsia="仿宋_GB2312"/>
          <w:spacing w:val="0"/>
          <w:sz w:val="30"/>
          <w:szCs w:val="30"/>
        </w:rPr>
        <w:t>；所聘用的咨询专家应当在</w:t>
      </w:r>
      <w:r>
        <w:rPr>
          <w:rFonts w:hint="eastAsia" w:ascii="Times New Roman" w:eastAsia="仿宋_GB2312"/>
          <w:spacing w:val="0"/>
          <w:sz w:val="30"/>
          <w:szCs w:val="30"/>
        </w:rPr>
        <w:t>卫生技术评估</w:t>
      </w:r>
      <w:r>
        <w:rPr>
          <w:rFonts w:ascii="Times New Roman" w:eastAsia="仿宋_GB2312"/>
          <w:spacing w:val="0"/>
          <w:sz w:val="30"/>
          <w:szCs w:val="30"/>
        </w:rPr>
        <w:t>、</w:t>
      </w:r>
      <w:r>
        <w:rPr>
          <w:rFonts w:hint="eastAsia" w:ascii="Times New Roman" w:eastAsia="仿宋_GB2312"/>
          <w:spacing w:val="0"/>
          <w:sz w:val="30"/>
          <w:szCs w:val="30"/>
        </w:rPr>
        <w:t>医保政策研究</w:t>
      </w:r>
      <w:r>
        <w:rPr>
          <w:rFonts w:ascii="Times New Roman" w:eastAsia="仿宋_GB2312"/>
          <w:spacing w:val="0"/>
          <w:sz w:val="30"/>
          <w:szCs w:val="30"/>
        </w:rPr>
        <w:t>等相关方面具有较好的专业功底和研究</w:t>
      </w:r>
      <w:r>
        <w:rPr>
          <w:rFonts w:ascii="Times New Roman" w:eastAsia="仿宋_GB2312"/>
          <w:sz w:val="30"/>
          <w:szCs w:val="30"/>
        </w:rPr>
        <w:t>经验</w:t>
      </w:r>
      <w:r>
        <w:rPr>
          <w:rFonts w:hint="eastAsia" w:ascii="Times New Roman" w:eastAsia="仿宋_GB2312"/>
          <w:sz w:val="30"/>
          <w:szCs w:val="30"/>
          <w:lang w:eastAsia="zh-CN"/>
        </w:rPr>
        <w:t>。</w:t>
      </w:r>
    </w:p>
    <w:p>
      <w:pPr>
        <w:pStyle w:val="5"/>
        <w:keepNext w:val="0"/>
        <w:keepLines w:val="0"/>
        <w:pageBreakBefore w:val="0"/>
        <w:widowControl w:val="0"/>
        <w:kinsoku/>
        <w:wordWrap/>
        <w:topLinePunct w:val="0"/>
        <w:bidi w:val="0"/>
        <w:adjustRightInd w:val="0"/>
        <w:snapToGrid w:val="0"/>
        <w:spacing w:after="0" w:line="360" w:lineRule="auto"/>
        <w:ind w:firstLine="600"/>
        <w:textAlignment w:val="auto"/>
        <w:rPr>
          <w:rFonts w:ascii="黑体" w:hAnsi="黑体" w:eastAsia="黑体" w:cs="黑体"/>
          <w:spacing w:val="0"/>
          <w:sz w:val="30"/>
          <w:szCs w:val="30"/>
        </w:rPr>
      </w:pPr>
      <w:r>
        <w:rPr>
          <w:rFonts w:ascii="黑体" w:hAnsi="黑体" w:eastAsia="黑体" w:cs="黑体"/>
          <w:spacing w:val="0"/>
          <w:sz w:val="30"/>
          <w:szCs w:val="30"/>
        </w:rPr>
        <w:t>四、交付成果及时间计划</w:t>
      </w:r>
    </w:p>
    <w:p>
      <w:pPr>
        <w:keepNext w:val="0"/>
        <w:keepLines w:val="0"/>
        <w:pageBreakBefore w:val="0"/>
        <w:widowControl w:val="0"/>
        <w:kinsoku/>
        <w:wordWrap/>
        <w:topLinePunct w:val="0"/>
        <w:bidi w:val="0"/>
        <w:adjustRightInd w:val="0"/>
        <w:snapToGrid w:val="0"/>
        <w:spacing w:line="360" w:lineRule="auto"/>
        <w:ind w:firstLine="600" w:firstLineChars="200"/>
        <w:textAlignment w:val="auto"/>
        <w:rPr>
          <w:rFonts w:ascii="Times New Roman" w:hAnsi="Times New Roman" w:eastAsia="仿宋_GB2312"/>
          <w:sz w:val="30"/>
          <w:szCs w:val="30"/>
        </w:rPr>
      </w:pPr>
      <w:r>
        <w:rPr>
          <w:rFonts w:ascii="Times New Roman" w:hAnsi="Times New Roman" w:eastAsia="仿宋_GB2312"/>
          <w:sz w:val="30"/>
          <w:szCs w:val="30"/>
        </w:rPr>
        <w:t>1.交付成果：</w:t>
      </w:r>
    </w:p>
    <w:p>
      <w:pPr>
        <w:keepNext w:val="0"/>
        <w:keepLines w:val="0"/>
        <w:pageBreakBefore w:val="0"/>
        <w:widowControl w:val="0"/>
        <w:kinsoku/>
        <w:wordWrap/>
        <w:topLinePunct w:val="0"/>
        <w:bidi w:val="0"/>
        <w:adjustRightInd w:val="0"/>
        <w:snapToGrid w:val="0"/>
        <w:spacing w:line="360" w:lineRule="auto"/>
        <w:ind w:firstLine="600" w:firstLineChars="200"/>
        <w:jc w:val="left"/>
        <w:textAlignment w:val="auto"/>
        <w:rPr>
          <w:rFonts w:ascii="Times New Roman" w:hAnsi="Times New Roman" w:eastAsia="仿宋_GB2312"/>
          <w:sz w:val="30"/>
          <w:szCs w:val="30"/>
          <w:highlight w:val="yellow"/>
        </w:rPr>
      </w:pPr>
      <w:r>
        <w:rPr>
          <w:rFonts w:ascii="Times New Roman" w:hAnsi="Times New Roman" w:eastAsia="仿宋_GB2312"/>
          <w:sz w:val="30"/>
          <w:szCs w:val="30"/>
        </w:rPr>
        <w:t>中标的咨询机构需提交</w:t>
      </w:r>
      <w:r>
        <w:rPr>
          <w:rFonts w:hint="eastAsia" w:ascii="Times New Roman" w:hAnsi="Times New Roman" w:eastAsia="仿宋_GB2312"/>
          <w:sz w:val="30"/>
          <w:szCs w:val="30"/>
        </w:rPr>
        <w:t>4</w:t>
      </w:r>
      <w:r>
        <w:rPr>
          <w:rFonts w:ascii="Times New Roman" w:hAnsi="Times New Roman" w:eastAsia="仿宋_GB2312"/>
          <w:sz w:val="30"/>
          <w:szCs w:val="30"/>
        </w:rPr>
        <w:t>个最终研究报告，主题分别为：</w:t>
      </w:r>
    </w:p>
    <w:p>
      <w:pPr>
        <w:keepNext w:val="0"/>
        <w:keepLines w:val="0"/>
        <w:pageBreakBefore w:val="0"/>
        <w:widowControl w:val="0"/>
        <w:kinsoku/>
        <w:wordWrap/>
        <w:topLinePunct w:val="0"/>
        <w:bidi w:val="0"/>
        <w:adjustRightInd w:val="0"/>
        <w:snapToGrid w:val="0"/>
        <w:spacing w:line="360" w:lineRule="auto"/>
        <w:ind w:firstLine="600" w:firstLineChars="200"/>
        <w:jc w:val="left"/>
        <w:textAlignment w:val="auto"/>
        <w:rPr>
          <w:rFonts w:hint="eastAsia" w:ascii="Times New Roman" w:hAnsi="Times New Roman" w:eastAsia="仿宋_GB2312" w:cs="Times New Roman"/>
          <w:spacing w:val="0"/>
          <w:kern w:val="0"/>
          <w:sz w:val="30"/>
          <w:szCs w:val="30"/>
          <w:lang w:val="en-US" w:eastAsia="zh-CN" w:bidi="ar-SA"/>
        </w:rPr>
      </w:pPr>
      <w:r>
        <w:rPr>
          <w:rFonts w:hint="eastAsia" w:ascii="Times New Roman" w:hAnsi="Times New Roman" w:eastAsia="仿宋_GB2312" w:cs="Times New Roman"/>
          <w:spacing w:val="0"/>
          <w:kern w:val="0"/>
          <w:sz w:val="30"/>
          <w:szCs w:val="30"/>
          <w:lang w:val="en-US" w:eastAsia="zh-CN" w:bidi="ar-SA"/>
        </w:rPr>
        <w:t>【成果1】国内外HTA发展状况研究报告。</w:t>
      </w:r>
    </w:p>
    <w:p>
      <w:pPr>
        <w:keepNext w:val="0"/>
        <w:keepLines w:val="0"/>
        <w:pageBreakBefore w:val="0"/>
        <w:widowControl w:val="0"/>
        <w:kinsoku/>
        <w:wordWrap/>
        <w:topLinePunct w:val="0"/>
        <w:bidi w:val="0"/>
        <w:adjustRightInd w:val="0"/>
        <w:snapToGrid w:val="0"/>
        <w:spacing w:line="360" w:lineRule="auto"/>
        <w:ind w:firstLine="600" w:firstLineChars="200"/>
        <w:jc w:val="left"/>
        <w:textAlignment w:val="auto"/>
        <w:rPr>
          <w:rFonts w:hint="eastAsia" w:ascii="Times New Roman" w:hAnsi="Times New Roman" w:eastAsia="仿宋_GB2312" w:cs="Times New Roman"/>
          <w:spacing w:val="0"/>
          <w:kern w:val="0"/>
          <w:sz w:val="30"/>
          <w:szCs w:val="30"/>
          <w:lang w:val="en-US" w:eastAsia="zh-CN" w:bidi="ar-SA"/>
        </w:rPr>
      </w:pPr>
      <w:r>
        <w:rPr>
          <w:rFonts w:hint="eastAsia" w:ascii="Times New Roman" w:hAnsi="Times New Roman" w:eastAsia="仿宋_GB2312" w:cs="Times New Roman"/>
          <w:spacing w:val="0"/>
          <w:kern w:val="0"/>
          <w:sz w:val="30"/>
          <w:szCs w:val="30"/>
          <w:lang w:val="en-US" w:eastAsia="zh-CN" w:bidi="ar-SA"/>
        </w:rPr>
        <w:t>【成果2】医保目录调整的价值评估框架及标准研究报告。</w:t>
      </w:r>
    </w:p>
    <w:p>
      <w:pPr>
        <w:keepNext w:val="0"/>
        <w:keepLines w:val="0"/>
        <w:pageBreakBefore w:val="0"/>
        <w:widowControl w:val="0"/>
        <w:kinsoku/>
        <w:wordWrap/>
        <w:topLinePunct w:val="0"/>
        <w:bidi w:val="0"/>
        <w:adjustRightInd w:val="0"/>
        <w:snapToGrid w:val="0"/>
        <w:spacing w:line="360" w:lineRule="auto"/>
        <w:ind w:firstLine="600" w:firstLineChars="200"/>
        <w:jc w:val="left"/>
        <w:textAlignment w:val="auto"/>
        <w:rPr>
          <w:rFonts w:hint="eastAsia" w:ascii="Times New Roman" w:hAnsi="Times New Roman" w:eastAsia="仿宋_GB2312" w:cs="Times New Roman"/>
          <w:spacing w:val="0"/>
          <w:kern w:val="0"/>
          <w:sz w:val="30"/>
          <w:szCs w:val="30"/>
          <w:lang w:val="en-US" w:eastAsia="zh-CN" w:bidi="ar-SA"/>
        </w:rPr>
      </w:pPr>
      <w:r>
        <w:rPr>
          <w:rFonts w:hint="eastAsia" w:ascii="Times New Roman" w:hAnsi="Times New Roman" w:eastAsia="仿宋_GB2312" w:cs="Times New Roman"/>
          <w:spacing w:val="0"/>
          <w:kern w:val="0"/>
          <w:sz w:val="30"/>
          <w:szCs w:val="30"/>
          <w:lang w:val="en-US" w:eastAsia="zh-CN" w:bidi="ar-SA"/>
        </w:rPr>
        <w:t>【成果3】HTA研究的技术标准研究。</w:t>
      </w:r>
    </w:p>
    <w:p>
      <w:pPr>
        <w:pStyle w:val="5"/>
        <w:keepNext w:val="0"/>
        <w:keepLines w:val="0"/>
        <w:pageBreakBefore w:val="0"/>
        <w:widowControl w:val="0"/>
        <w:kinsoku/>
        <w:wordWrap/>
        <w:topLinePunct w:val="0"/>
        <w:bidi w:val="0"/>
        <w:adjustRightInd w:val="0"/>
        <w:snapToGrid w:val="0"/>
        <w:spacing w:after="0" w:line="360" w:lineRule="auto"/>
        <w:ind w:firstLine="616"/>
        <w:jc w:val="left"/>
        <w:textAlignment w:val="auto"/>
        <w:rPr>
          <w:rFonts w:hint="eastAsia" w:ascii="Times New Roman" w:hAnsi="Times New Roman" w:eastAsia="仿宋_GB2312" w:cs="Times New Roman"/>
          <w:spacing w:val="0"/>
          <w:kern w:val="0"/>
          <w:sz w:val="30"/>
          <w:szCs w:val="30"/>
          <w:lang w:val="en-US" w:eastAsia="zh-CN" w:bidi="ar-SA"/>
        </w:rPr>
      </w:pPr>
      <w:r>
        <w:rPr>
          <w:rFonts w:hint="eastAsia" w:ascii="Times New Roman" w:hAnsi="Times New Roman" w:eastAsia="仿宋_GB2312" w:cs="Times New Roman"/>
          <w:spacing w:val="0"/>
          <w:kern w:val="0"/>
          <w:sz w:val="30"/>
          <w:szCs w:val="30"/>
          <w:lang w:val="en-US" w:eastAsia="zh-CN" w:bidi="ar-SA"/>
        </w:rPr>
        <w:t>【</w:t>
      </w:r>
      <w:r>
        <w:rPr>
          <w:rFonts w:hint="eastAsia" w:ascii="Times New Roman" w:eastAsia="仿宋_GB2312" w:cs="Times New Roman"/>
          <w:spacing w:val="0"/>
          <w:kern w:val="0"/>
          <w:sz w:val="30"/>
          <w:szCs w:val="30"/>
          <w:lang w:val="en-US" w:eastAsia="zh-CN" w:bidi="ar-SA"/>
        </w:rPr>
        <w:t xml:space="preserve">成果 </w:t>
      </w:r>
      <w:r>
        <w:rPr>
          <w:rFonts w:hint="eastAsia" w:ascii="Times New Roman" w:hAnsi="Times New Roman" w:eastAsia="仿宋_GB2312" w:cs="Times New Roman"/>
          <w:spacing w:val="0"/>
          <w:kern w:val="0"/>
          <w:sz w:val="30"/>
          <w:szCs w:val="30"/>
          <w:lang w:val="en-US" w:eastAsia="zh-CN" w:bidi="ar-SA"/>
        </w:rPr>
        <w:t>4】HTA证据纳入决策的方法和程序研究。</w:t>
      </w:r>
    </w:p>
    <w:p>
      <w:pPr>
        <w:pStyle w:val="5"/>
        <w:keepNext w:val="0"/>
        <w:keepLines w:val="0"/>
        <w:pageBreakBefore w:val="0"/>
        <w:widowControl w:val="0"/>
        <w:kinsoku/>
        <w:wordWrap/>
        <w:topLinePunct w:val="0"/>
        <w:bidi w:val="0"/>
        <w:adjustRightInd w:val="0"/>
        <w:snapToGrid w:val="0"/>
        <w:spacing w:after="0" w:line="360" w:lineRule="auto"/>
        <w:ind w:firstLine="616"/>
        <w:jc w:val="left"/>
        <w:textAlignment w:val="auto"/>
        <w:rPr>
          <w:rFonts w:ascii="Times New Roman" w:eastAsia="仿宋_GB2312"/>
          <w:sz w:val="30"/>
          <w:szCs w:val="30"/>
        </w:rPr>
      </w:pPr>
      <w:r>
        <w:rPr>
          <w:rFonts w:hint="eastAsia" w:ascii="Times New Roman" w:hAnsi="Times New Roman" w:eastAsia="仿宋_GB2312" w:cs="Times New Roman"/>
          <w:spacing w:val="0"/>
          <w:kern w:val="0"/>
          <w:sz w:val="30"/>
          <w:szCs w:val="30"/>
          <w:lang w:val="en-US" w:eastAsia="zh-CN" w:bidi="ar-SA"/>
        </w:rPr>
        <w:t>所有成果均应提供中文文本，各提供四份打印稿，同时提</w:t>
      </w:r>
      <w:r>
        <w:rPr>
          <w:rFonts w:ascii="Times New Roman" w:eastAsia="仿宋_GB2312"/>
          <w:sz w:val="30"/>
          <w:szCs w:val="30"/>
        </w:rPr>
        <w:t>供电子版。数据和表格需以Excel文档提供。</w:t>
      </w:r>
    </w:p>
    <w:p>
      <w:pPr>
        <w:keepNext w:val="0"/>
        <w:keepLines w:val="0"/>
        <w:pageBreakBefore w:val="0"/>
        <w:widowControl w:val="0"/>
        <w:kinsoku/>
        <w:wordWrap/>
        <w:topLinePunct w:val="0"/>
        <w:bidi w:val="0"/>
        <w:adjustRightInd w:val="0"/>
        <w:snapToGrid w:val="0"/>
        <w:spacing w:line="360" w:lineRule="auto"/>
        <w:ind w:firstLine="600" w:firstLineChars="200"/>
        <w:textAlignment w:val="auto"/>
        <w:outlineLvl w:val="0"/>
        <w:rPr>
          <w:rFonts w:ascii="Times New Roman" w:hAnsi="Times New Roman" w:eastAsia="仿宋_GB2312"/>
          <w:sz w:val="30"/>
          <w:szCs w:val="30"/>
        </w:rPr>
      </w:pPr>
      <w:r>
        <w:rPr>
          <w:rFonts w:ascii="Times New Roman" w:hAnsi="Times New Roman" w:eastAsia="仿宋_GB2312"/>
          <w:sz w:val="30"/>
          <w:szCs w:val="30"/>
        </w:rPr>
        <w:t>2.时间计划</w:t>
      </w:r>
    </w:p>
    <w:p>
      <w:pPr>
        <w:pStyle w:val="5"/>
        <w:keepNext w:val="0"/>
        <w:keepLines w:val="0"/>
        <w:pageBreakBefore w:val="0"/>
        <w:widowControl w:val="0"/>
        <w:kinsoku/>
        <w:wordWrap/>
        <w:topLinePunct w:val="0"/>
        <w:bidi w:val="0"/>
        <w:adjustRightInd w:val="0"/>
        <w:snapToGrid w:val="0"/>
        <w:spacing w:after="0" w:line="360" w:lineRule="auto"/>
        <w:ind w:firstLine="616"/>
        <w:textAlignment w:val="auto"/>
        <w:rPr>
          <w:rFonts w:ascii="Times New Roman" w:eastAsia="仿宋_GB2312"/>
          <w:sz w:val="30"/>
          <w:szCs w:val="30"/>
        </w:rPr>
      </w:pPr>
      <w:r>
        <w:rPr>
          <w:rFonts w:ascii="Times New Roman" w:eastAsia="仿宋_GB2312"/>
          <w:sz w:val="30"/>
          <w:szCs w:val="30"/>
        </w:rPr>
        <w:t>本任务开始时间不迟于20</w:t>
      </w:r>
      <w:r>
        <w:rPr>
          <w:rFonts w:hint="eastAsia" w:ascii="Times New Roman" w:eastAsia="仿宋_GB2312"/>
          <w:sz w:val="30"/>
          <w:szCs w:val="30"/>
        </w:rPr>
        <w:t>20</w:t>
      </w:r>
      <w:r>
        <w:rPr>
          <w:rFonts w:ascii="Times New Roman" w:eastAsia="仿宋_GB2312"/>
          <w:sz w:val="30"/>
          <w:szCs w:val="30"/>
        </w:rPr>
        <w:t>年</w:t>
      </w:r>
      <w:r>
        <w:rPr>
          <w:rFonts w:hint="eastAsia" w:ascii="Times New Roman" w:eastAsia="仿宋_GB2312"/>
          <w:sz w:val="30"/>
          <w:szCs w:val="30"/>
        </w:rPr>
        <w:t>3</w:t>
      </w:r>
      <w:r>
        <w:rPr>
          <w:rFonts w:ascii="Times New Roman" w:eastAsia="仿宋_GB2312"/>
          <w:sz w:val="30"/>
          <w:szCs w:val="30"/>
        </w:rPr>
        <w:t>月</w:t>
      </w:r>
      <w:r>
        <w:rPr>
          <w:rFonts w:hint="eastAsia" w:ascii="Times New Roman" w:eastAsia="仿宋_GB2312"/>
          <w:sz w:val="30"/>
          <w:szCs w:val="30"/>
        </w:rPr>
        <w:t>15</w:t>
      </w:r>
      <w:r>
        <w:rPr>
          <w:rFonts w:ascii="Times New Roman" w:eastAsia="仿宋_GB2312"/>
          <w:sz w:val="30"/>
          <w:szCs w:val="30"/>
        </w:rPr>
        <w:t>日；</w:t>
      </w:r>
    </w:p>
    <w:p>
      <w:pPr>
        <w:pStyle w:val="5"/>
        <w:keepNext w:val="0"/>
        <w:keepLines w:val="0"/>
        <w:pageBreakBefore w:val="0"/>
        <w:widowControl w:val="0"/>
        <w:kinsoku/>
        <w:wordWrap/>
        <w:topLinePunct w:val="0"/>
        <w:bidi w:val="0"/>
        <w:adjustRightInd w:val="0"/>
        <w:snapToGrid w:val="0"/>
        <w:spacing w:after="0" w:line="360" w:lineRule="auto"/>
        <w:ind w:firstLine="616"/>
        <w:textAlignment w:val="auto"/>
        <w:rPr>
          <w:rFonts w:ascii="Times New Roman" w:eastAsia="仿宋_GB2312"/>
          <w:sz w:val="30"/>
          <w:szCs w:val="30"/>
        </w:rPr>
      </w:pPr>
      <w:r>
        <w:rPr>
          <w:rFonts w:ascii="Times New Roman" w:eastAsia="仿宋_GB2312"/>
          <w:sz w:val="30"/>
          <w:szCs w:val="30"/>
        </w:rPr>
        <w:t>【成果1】初稿交付不迟于2020年</w:t>
      </w:r>
      <w:r>
        <w:rPr>
          <w:rFonts w:hint="eastAsia" w:ascii="Times New Roman" w:eastAsia="仿宋_GB2312"/>
          <w:sz w:val="30"/>
          <w:szCs w:val="30"/>
          <w:lang w:val="en-US" w:eastAsia="zh-CN"/>
        </w:rPr>
        <w:t>6</w:t>
      </w:r>
      <w:r>
        <w:rPr>
          <w:rFonts w:ascii="Times New Roman" w:eastAsia="仿宋_GB2312"/>
          <w:sz w:val="30"/>
          <w:szCs w:val="30"/>
        </w:rPr>
        <w:t>月</w:t>
      </w:r>
      <w:r>
        <w:rPr>
          <w:rFonts w:hint="eastAsia" w:ascii="Times New Roman" w:eastAsia="仿宋_GB2312"/>
          <w:sz w:val="30"/>
          <w:szCs w:val="30"/>
        </w:rPr>
        <w:t>3</w:t>
      </w:r>
      <w:r>
        <w:rPr>
          <w:rFonts w:hint="eastAsia" w:ascii="Times New Roman" w:eastAsia="仿宋_GB2312"/>
          <w:sz w:val="30"/>
          <w:szCs w:val="30"/>
          <w:lang w:val="en-US" w:eastAsia="zh-CN"/>
        </w:rPr>
        <w:t>0</w:t>
      </w:r>
      <w:r>
        <w:rPr>
          <w:rFonts w:ascii="Times New Roman" w:eastAsia="仿宋_GB2312"/>
          <w:sz w:val="30"/>
          <w:szCs w:val="30"/>
        </w:rPr>
        <w:t>日，定稿交付不迟于2020年</w:t>
      </w:r>
      <w:r>
        <w:rPr>
          <w:rFonts w:hint="eastAsia" w:ascii="Times New Roman" w:eastAsia="仿宋_GB2312"/>
          <w:sz w:val="30"/>
          <w:szCs w:val="30"/>
          <w:lang w:val="en-US" w:eastAsia="zh-CN"/>
        </w:rPr>
        <w:t>7</w:t>
      </w:r>
      <w:r>
        <w:rPr>
          <w:rFonts w:ascii="Times New Roman" w:eastAsia="仿宋_GB2312"/>
          <w:sz w:val="30"/>
          <w:szCs w:val="30"/>
        </w:rPr>
        <w:t>月</w:t>
      </w:r>
      <w:r>
        <w:rPr>
          <w:rFonts w:hint="eastAsia" w:ascii="Times New Roman" w:eastAsia="仿宋_GB2312"/>
          <w:sz w:val="30"/>
          <w:szCs w:val="30"/>
        </w:rPr>
        <w:t>3</w:t>
      </w:r>
      <w:r>
        <w:rPr>
          <w:rFonts w:hint="eastAsia" w:ascii="Times New Roman" w:eastAsia="仿宋_GB2312"/>
          <w:sz w:val="30"/>
          <w:szCs w:val="30"/>
          <w:lang w:val="en-US" w:eastAsia="zh-CN"/>
        </w:rPr>
        <w:t>1</w:t>
      </w:r>
      <w:r>
        <w:rPr>
          <w:rFonts w:ascii="Times New Roman" w:eastAsia="仿宋_GB2312"/>
          <w:sz w:val="30"/>
          <w:szCs w:val="30"/>
        </w:rPr>
        <w:t>日。</w:t>
      </w:r>
    </w:p>
    <w:p>
      <w:pPr>
        <w:pStyle w:val="5"/>
        <w:keepNext w:val="0"/>
        <w:keepLines w:val="0"/>
        <w:pageBreakBefore w:val="0"/>
        <w:widowControl w:val="0"/>
        <w:kinsoku/>
        <w:wordWrap/>
        <w:topLinePunct w:val="0"/>
        <w:bidi w:val="0"/>
        <w:adjustRightInd w:val="0"/>
        <w:snapToGrid w:val="0"/>
        <w:spacing w:after="0" w:line="360" w:lineRule="auto"/>
        <w:ind w:firstLine="616"/>
        <w:textAlignment w:val="auto"/>
        <w:rPr>
          <w:rFonts w:ascii="Times New Roman" w:eastAsia="仿宋_GB2312"/>
          <w:sz w:val="30"/>
          <w:szCs w:val="30"/>
        </w:rPr>
      </w:pPr>
      <w:r>
        <w:rPr>
          <w:rFonts w:ascii="Times New Roman" w:eastAsia="仿宋_GB2312"/>
          <w:sz w:val="30"/>
          <w:szCs w:val="30"/>
        </w:rPr>
        <w:t>【成果2】初稿交付不迟于2020</w:t>
      </w:r>
      <w:bookmarkStart w:id="0" w:name="_GoBack"/>
      <w:bookmarkEnd w:id="0"/>
      <w:r>
        <w:rPr>
          <w:rFonts w:ascii="Times New Roman" w:eastAsia="仿宋_GB2312"/>
          <w:sz w:val="30"/>
          <w:szCs w:val="30"/>
        </w:rPr>
        <w:t>年</w:t>
      </w:r>
      <w:r>
        <w:rPr>
          <w:rFonts w:hint="eastAsia" w:ascii="Times New Roman" w:eastAsia="仿宋_GB2312"/>
          <w:sz w:val="30"/>
          <w:szCs w:val="30"/>
        </w:rPr>
        <w:t>9</w:t>
      </w:r>
      <w:r>
        <w:rPr>
          <w:rFonts w:ascii="Times New Roman" w:eastAsia="仿宋_GB2312"/>
          <w:sz w:val="30"/>
          <w:szCs w:val="30"/>
        </w:rPr>
        <w:t>月</w:t>
      </w:r>
      <w:r>
        <w:rPr>
          <w:rFonts w:hint="eastAsia" w:ascii="Times New Roman" w:eastAsia="仿宋_GB2312"/>
          <w:sz w:val="30"/>
          <w:szCs w:val="30"/>
        </w:rPr>
        <w:t>30</w:t>
      </w:r>
      <w:r>
        <w:rPr>
          <w:rFonts w:ascii="Times New Roman" w:eastAsia="仿宋_GB2312"/>
          <w:sz w:val="30"/>
          <w:szCs w:val="30"/>
        </w:rPr>
        <w:t>日，定稿交付不迟于2020年</w:t>
      </w:r>
      <w:r>
        <w:rPr>
          <w:rFonts w:hint="eastAsia" w:ascii="Times New Roman" w:eastAsia="仿宋_GB2312"/>
          <w:sz w:val="30"/>
          <w:szCs w:val="30"/>
        </w:rPr>
        <w:t>12</w:t>
      </w:r>
      <w:r>
        <w:rPr>
          <w:rFonts w:ascii="Times New Roman" w:eastAsia="仿宋_GB2312"/>
          <w:sz w:val="30"/>
          <w:szCs w:val="30"/>
        </w:rPr>
        <w:t>月1日。</w:t>
      </w:r>
    </w:p>
    <w:p>
      <w:pPr>
        <w:pStyle w:val="5"/>
        <w:keepNext w:val="0"/>
        <w:keepLines w:val="0"/>
        <w:pageBreakBefore w:val="0"/>
        <w:widowControl w:val="0"/>
        <w:kinsoku/>
        <w:wordWrap/>
        <w:topLinePunct w:val="0"/>
        <w:bidi w:val="0"/>
        <w:adjustRightInd w:val="0"/>
        <w:snapToGrid w:val="0"/>
        <w:spacing w:after="0" w:line="360" w:lineRule="auto"/>
        <w:ind w:firstLine="616"/>
        <w:textAlignment w:val="auto"/>
        <w:rPr>
          <w:rFonts w:ascii="Times New Roman" w:eastAsia="仿宋_GB2312"/>
          <w:sz w:val="30"/>
          <w:szCs w:val="30"/>
        </w:rPr>
      </w:pPr>
      <w:r>
        <w:rPr>
          <w:rFonts w:ascii="Times New Roman" w:eastAsia="仿宋_GB2312"/>
          <w:sz w:val="30"/>
          <w:szCs w:val="30"/>
        </w:rPr>
        <w:t>【成果3】初稿交付不迟于202</w:t>
      </w:r>
      <w:r>
        <w:rPr>
          <w:rFonts w:hint="eastAsia" w:ascii="Times New Roman" w:eastAsia="仿宋_GB2312"/>
          <w:sz w:val="30"/>
          <w:szCs w:val="30"/>
        </w:rPr>
        <w:t>1</w:t>
      </w:r>
      <w:r>
        <w:rPr>
          <w:rFonts w:ascii="Times New Roman" w:eastAsia="仿宋_GB2312"/>
          <w:sz w:val="30"/>
          <w:szCs w:val="30"/>
        </w:rPr>
        <w:t>年</w:t>
      </w:r>
      <w:r>
        <w:rPr>
          <w:rFonts w:hint="eastAsia" w:ascii="Times New Roman" w:eastAsia="仿宋_GB2312"/>
          <w:sz w:val="30"/>
          <w:szCs w:val="30"/>
        </w:rPr>
        <w:t>2</w:t>
      </w:r>
      <w:r>
        <w:rPr>
          <w:rFonts w:ascii="Times New Roman" w:eastAsia="仿宋_GB2312"/>
          <w:sz w:val="30"/>
          <w:szCs w:val="30"/>
        </w:rPr>
        <w:t>月1日，定稿交付不迟于202</w:t>
      </w:r>
      <w:r>
        <w:rPr>
          <w:rFonts w:hint="eastAsia" w:ascii="Times New Roman" w:eastAsia="仿宋_GB2312"/>
          <w:sz w:val="30"/>
          <w:szCs w:val="30"/>
        </w:rPr>
        <w:t>1</w:t>
      </w:r>
      <w:r>
        <w:rPr>
          <w:rFonts w:ascii="Times New Roman" w:eastAsia="仿宋_GB2312"/>
          <w:sz w:val="30"/>
          <w:szCs w:val="30"/>
        </w:rPr>
        <w:t>年</w:t>
      </w:r>
      <w:r>
        <w:rPr>
          <w:rFonts w:hint="eastAsia" w:ascii="Times New Roman" w:eastAsia="仿宋_GB2312"/>
          <w:sz w:val="30"/>
          <w:szCs w:val="30"/>
        </w:rPr>
        <w:t>5</w:t>
      </w:r>
      <w:r>
        <w:rPr>
          <w:rFonts w:ascii="Times New Roman" w:eastAsia="仿宋_GB2312"/>
          <w:sz w:val="30"/>
          <w:szCs w:val="30"/>
        </w:rPr>
        <w:t>月1日。</w:t>
      </w:r>
    </w:p>
    <w:p>
      <w:pPr>
        <w:pStyle w:val="5"/>
        <w:keepNext w:val="0"/>
        <w:keepLines w:val="0"/>
        <w:pageBreakBefore w:val="0"/>
        <w:widowControl w:val="0"/>
        <w:kinsoku/>
        <w:wordWrap/>
        <w:topLinePunct w:val="0"/>
        <w:bidi w:val="0"/>
        <w:adjustRightInd w:val="0"/>
        <w:snapToGrid w:val="0"/>
        <w:spacing w:after="0" w:line="360" w:lineRule="auto"/>
        <w:ind w:firstLine="616"/>
        <w:textAlignment w:val="auto"/>
        <w:rPr>
          <w:rFonts w:ascii="Times New Roman" w:eastAsia="仿宋_GB2312"/>
          <w:sz w:val="30"/>
          <w:szCs w:val="30"/>
        </w:rPr>
      </w:pPr>
      <w:r>
        <w:rPr>
          <w:rFonts w:ascii="Times New Roman" w:eastAsia="仿宋_GB2312"/>
          <w:sz w:val="30"/>
          <w:szCs w:val="30"/>
        </w:rPr>
        <w:t>【成果4】初稿交付不迟于2021年</w:t>
      </w:r>
      <w:r>
        <w:rPr>
          <w:rFonts w:hint="eastAsia" w:ascii="Times New Roman" w:eastAsia="仿宋_GB2312"/>
          <w:sz w:val="30"/>
          <w:szCs w:val="30"/>
        </w:rPr>
        <w:t>7</w:t>
      </w:r>
      <w:r>
        <w:rPr>
          <w:rFonts w:ascii="Times New Roman" w:eastAsia="仿宋_GB2312"/>
          <w:sz w:val="30"/>
          <w:szCs w:val="30"/>
        </w:rPr>
        <w:t>月</w:t>
      </w:r>
      <w:r>
        <w:rPr>
          <w:rFonts w:hint="eastAsia" w:ascii="Times New Roman" w:eastAsia="仿宋_GB2312"/>
          <w:sz w:val="30"/>
          <w:szCs w:val="30"/>
        </w:rPr>
        <w:t>15</w:t>
      </w:r>
      <w:r>
        <w:rPr>
          <w:rFonts w:ascii="Times New Roman" w:eastAsia="仿宋_GB2312"/>
          <w:sz w:val="30"/>
          <w:szCs w:val="30"/>
        </w:rPr>
        <w:t>日，定稿交付不迟于2021年</w:t>
      </w:r>
      <w:r>
        <w:rPr>
          <w:rFonts w:hint="eastAsia" w:ascii="Times New Roman" w:eastAsia="仿宋_GB2312"/>
          <w:sz w:val="30"/>
          <w:szCs w:val="30"/>
        </w:rPr>
        <w:t>8</w:t>
      </w:r>
      <w:r>
        <w:rPr>
          <w:rFonts w:ascii="Times New Roman" w:eastAsia="仿宋_GB2312"/>
          <w:sz w:val="30"/>
          <w:szCs w:val="30"/>
        </w:rPr>
        <w:t>月</w:t>
      </w:r>
      <w:r>
        <w:rPr>
          <w:rFonts w:hint="eastAsia" w:ascii="Times New Roman" w:eastAsia="仿宋_GB2312"/>
          <w:sz w:val="30"/>
          <w:szCs w:val="30"/>
        </w:rPr>
        <w:t>30</w:t>
      </w:r>
      <w:r>
        <w:rPr>
          <w:rFonts w:ascii="Times New Roman" w:eastAsia="仿宋_GB2312"/>
          <w:sz w:val="30"/>
          <w:szCs w:val="30"/>
        </w:rPr>
        <w:t>日。</w:t>
      </w:r>
    </w:p>
    <w:p>
      <w:pPr>
        <w:pStyle w:val="5"/>
        <w:keepNext w:val="0"/>
        <w:keepLines w:val="0"/>
        <w:pageBreakBefore w:val="0"/>
        <w:widowControl w:val="0"/>
        <w:kinsoku/>
        <w:wordWrap/>
        <w:topLinePunct w:val="0"/>
        <w:bidi w:val="0"/>
        <w:adjustRightInd w:val="0"/>
        <w:snapToGrid w:val="0"/>
        <w:spacing w:after="0" w:line="360" w:lineRule="auto"/>
        <w:ind w:firstLine="600"/>
        <w:textAlignment w:val="auto"/>
        <w:rPr>
          <w:rFonts w:ascii="黑体" w:hAnsi="黑体" w:eastAsia="黑体" w:cs="黑体"/>
          <w:spacing w:val="0"/>
          <w:sz w:val="30"/>
          <w:szCs w:val="30"/>
        </w:rPr>
      </w:pPr>
      <w:r>
        <w:rPr>
          <w:rFonts w:ascii="黑体" w:hAnsi="黑体" w:eastAsia="黑体" w:cs="黑体"/>
          <w:spacing w:val="0"/>
          <w:sz w:val="30"/>
          <w:szCs w:val="30"/>
        </w:rPr>
        <w:t>五、合同及付款计划</w:t>
      </w:r>
    </w:p>
    <w:p>
      <w:pPr>
        <w:pStyle w:val="5"/>
        <w:keepNext w:val="0"/>
        <w:keepLines w:val="0"/>
        <w:pageBreakBefore w:val="0"/>
        <w:widowControl w:val="0"/>
        <w:kinsoku/>
        <w:wordWrap/>
        <w:topLinePunct w:val="0"/>
        <w:bidi w:val="0"/>
        <w:adjustRightInd w:val="0"/>
        <w:snapToGrid w:val="0"/>
        <w:spacing w:after="0" w:line="360" w:lineRule="auto"/>
        <w:ind w:firstLine="600"/>
        <w:textAlignment w:val="auto"/>
        <w:rPr>
          <w:rFonts w:ascii="Times New Roman" w:eastAsia="仿宋_GB2312"/>
          <w:spacing w:val="0"/>
          <w:sz w:val="30"/>
          <w:szCs w:val="30"/>
        </w:rPr>
      </w:pPr>
      <w:r>
        <w:rPr>
          <w:rFonts w:ascii="Times New Roman" w:eastAsia="仿宋_GB2312"/>
          <w:spacing w:val="0"/>
          <w:sz w:val="30"/>
          <w:szCs w:val="30"/>
        </w:rPr>
        <w:t>中标的咨询机构将获得一份总价合同。合同金额将在咨询机构交付合格的成果之后分期支付，具体付款安排如下：</w:t>
      </w:r>
    </w:p>
    <w:p>
      <w:pPr>
        <w:pStyle w:val="5"/>
        <w:keepNext w:val="0"/>
        <w:keepLines w:val="0"/>
        <w:pageBreakBefore w:val="0"/>
        <w:widowControl w:val="0"/>
        <w:kinsoku/>
        <w:wordWrap/>
        <w:topLinePunct w:val="0"/>
        <w:bidi w:val="0"/>
        <w:adjustRightInd w:val="0"/>
        <w:snapToGrid w:val="0"/>
        <w:spacing w:after="0" w:line="360" w:lineRule="auto"/>
        <w:ind w:firstLine="616"/>
        <w:textAlignment w:val="auto"/>
        <w:rPr>
          <w:rFonts w:ascii="Times New Roman" w:eastAsia="仿宋_GB2312"/>
          <w:sz w:val="30"/>
          <w:szCs w:val="30"/>
        </w:rPr>
      </w:pPr>
      <w:r>
        <w:rPr>
          <w:rFonts w:ascii="Times New Roman" w:eastAsia="仿宋_GB2312"/>
          <w:sz w:val="30"/>
          <w:szCs w:val="30"/>
        </w:rPr>
        <w:t>● 签署合同文本之后支付本任务合同总价的10%</w:t>
      </w:r>
      <w:r>
        <w:rPr>
          <w:rFonts w:hint="eastAsia" w:ascii="Times New Roman" w:eastAsia="仿宋_GB2312"/>
          <w:sz w:val="30"/>
          <w:szCs w:val="30"/>
        </w:rPr>
        <w:t>；</w:t>
      </w:r>
    </w:p>
    <w:p>
      <w:pPr>
        <w:pStyle w:val="5"/>
        <w:keepNext w:val="0"/>
        <w:keepLines w:val="0"/>
        <w:pageBreakBefore w:val="0"/>
        <w:widowControl w:val="0"/>
        <w:kinsoku/>
        <w:wordWrap/>
        <w:topLinePunct w:val="0"/>
        <w:bidi w:val="0"/>
        <w:adjustRightInd w:val="0"/>
        <w:snapToGrid w:val="0"/>
        <w:spacing w:after="0" w:line="360" w:lineRule="auto"/>
        <w:ind w:left="420" w:leftChars="200" w:firstLine="0" w:firstLineChars="0"/>
        <w:textAlignment w:val="auto"/>
        <w:rPr>
          <w:rFonts w:ascii="Times New Roman" w:eastAsia="仿宋_GB2312"/>
          <w:sz w:val="30"/>
          <w:szCs w:val="30"/>
        </w:rPr>
      </w:pPr>
      <w:r>
        <w:rPr>
          <w:rFonts w:ascii="Times New Roman" w:eastAsia="仿宋_GB2312"/>
          <w:sz w:val="30"/>
          <w:szCs w:val="30"/>
        </w:rPr>
        <w:t xml:space="preserve"> ● 交付成果【1】之后支付本任务合同总价的30%；</w:t>
      </w:r>
    </w:p>
    <w:p>
      <w:pPr>
        <w:pStyle w:val="5"/>
        <w:keepNext w:val="0"/>
        <w:keepLines w:val="0"/>
        <w:pageBreakBefore w:val="0"/>
        <w:widowControl w:val="0"/>
        <w:kinsoku/>
        <w:wordWrap/>
        <w:topLinePunct w:val="0"/>
        <w:bidi w:val="0"/>
        <w:adjustRightInd w:val="0"/>
        <w:snapToGrid w:val="0"/>
        <w:spacing w:after="0" w:line="360" w:lineRule="auto"/>
        <w:ind w:firstLine="616"/>
        <w:textAlignment w:val="auto"/>
        <w:rPr>
          <w:rFonts w:ascii="Times New Roman" w:eastAsia="仿宋_GB2312"/>
          <w:sz w:val="30"/>
          <w:szCs w:val="30"/>
        </w:rPr>
      </w:pPr>
      <w:r>
        <w:rPr>
          <w:rFonts w:ascii="Times New Roman" w:eastAsia="仿宋_GB2312"/>
          <w:sz w:val="30"/>
          <w:szCs w:val="30"/>
        </w:rPr>
        <w:t>● 交付成果【</w:t>
      </w:r>
      <w:r>
        <w:rPr>
          <w:rFonts w:hint="eastAsia" w:ascii="Times New Roman" w:eastAsia="仿宋_GB2312"/>
          <w:sz w:val="30"/>
          <w:szCs w:val="30"/>
        </w:rPr>
        <w:t>2</w:t>
      </w:r>
      <w:r>
        <w:rPr>
          <w:rFonts w:ascii="Times New Roman" w:eastAsia="仿宋_GB2312"/>
          <w:sz w:val="30"/>
          <w:szCs w:val="30"/>
        </w:rPr>
        <w:t>】、【</w:t>
      </w:r>
      <w:r>
        <w:rPr>
          <w:rFonts w:hint="eastAsia" w:ascii="Times New Roman" w:eastAsia="仿宋_GB2312"/>
          <w:sz w:val="30"/>
          <w:szCs w:val="30"/>
        </w:rPr>
        <w:t>3</w:t>
      </w:r>
      <w:r>
        <w:rPr>
          <w:rFonts w:ascii="Times New Roman" w:eastAsia="仿宋_GB2312"/>
          <w:sz w:val="30"/>
          <w:szCs w:val="30"/>
        </w:rPr>
        <w:t>】之后支付本任务合同总价的30%；</w:t>
      </w:r>
    </w:p>
    <w:p>
      <w:pPr>
        <w:pStyle w:val="5"/>
        <w:keepNext w:val="0"/>
        <w:keepLines w:val="0"/>
        <w:pageBreakBefore w:val="0"/>
        <w:widowControl w:val="0"/>
        <w:kinsoku/>
        <w:wordWrap/>
        <w:topLinePunct w:val="0"/>
        <w:bidi w:val="0"/>
        <w:adjustRightInd w:val="0"/>
        <w:snapToGrid w:val="0"/>
        <w:spacing w:after="0" w:line="360" w:lineRule="auto"/>
        <w:ind w:firstLine="616"/>
        <w:textAlignment w:val="auto"/>
        <w:rPr>
          <w:rFonts w:ascii="Times New Roman" w:eastAsia="仿宋_GB2312"/>
          <w:sz w:val="30"/>
          <w:szCs w:val="30"/>
        </w:rPr>
      </w:pPr>
      <w:r>
        <w:rPr>
          <w:rFonts w:ascii="Times New Roman" w:eastAsia="仿宋_GB2312"/>
          <w:sz w:val="30"/>
          <w:szCs w:val="30"/>
        </w:rPr>
        <w:t>● 交付成果【</w:t>
      </w:r>
      <w:r>
        <w:rPr>
          <w:rFonts w:hint="eastAsia" w:ascii="Times New Roman" w:eastAsia="仿宋_GB2312"/>
          <w:sz w:val="30"/>
          <w:szCs w:val="30"/>
        </w:rPr>
        <w:t>4</w:t>
      </w:r>
      <w:r>
        <w:rPr>
          <w:rFonts w:ascii="Times New Roman" w:eastAsia="仿宋_GB2312"/>
          <w:sz w:val="30"/>
          <w:szCs w:val="30"/>
        </w:rPr>
        <w:t>】并通过成果评审之后支付本任务合同总价的30%。</w:t>
      </w:r>
    </w:p>
    <w:p>
      <w:pPr>
        <w:pStyle w:val="5"/>
        <w:keepNext w:val="0"/>
        <w:keepLines w:val="0"/>
        <w:pageBreakBefore w:val="0"/>
        <w:widowControl w:val="0"/>
        <w:kinsoku/>
        <w:wordWrap/>
        <w:topLinePunct w:val="0"/>
        <w:bidi w:val="0"/>
        <w:adjustRightInd w:val="0"/>
        <w:snapToGrid w:val="0"/>
        <w:spacing w:after="0" w:line="360" w:lineRule="auto"/>
        <w:ind w:firstLine="600"/>
        <w:textAlignment w:val="auto"/>
        <w:rPr>
          <w:rFonts w:ascii="黑体" w:hAnsi="黑体" w:eastAsia="黑体" w:cs="黑体"/>
          <w:spacing w:val="0"/>
          <w:sz w:val="30"/>
          <w:szCs w:val="30"/>
        </w:rPr>
      </w:pPr>
      <w:r>
        <w:rPr>
          <w:rFonts w:ascii="黑体" w:hAnsi="黑体" w:eastAsia="黑体" w:cs="黑体"/>
          <w:spacing w:val="0"/>
          <w:sz w:val="30"/>
          <w:szCs w:val="30"/>
        </w:rPr>
        <w:t xml:space="preserve">六、监督管理 </w:t>
      </w:r>
    </w:p>
    <w:p>
      <w:pPr>
        <w:keepNext w:val="0"/>
        <w:keepLines w:val="0"/>
        <w:pageBreakBefore w:val="0"/>
        <w:widowControl w:val="0"/>
        <w:kinsoku/>
        <w:wordWrap/>
        <w:topLinePunct w:val="0"/>
        <w:bidi w:val="0"/>
        <w:adjustRightInd w:val="0"/>
        <w:snapToGrid w:val="0"/>
        <w:spacing w:line="360" w:lineRule="auto"/>
        <w:ind w:firstLine="600" w:firstLineChars="200"/>
        <w:textAlignment w:val="auto"/>
        <w:rPr>
          <w:rFonts w:ascii="Times New Roman" w:hAnsi="Times New Roman" w:eastAsia="仿宋_GB2312"/>
          <w:sz w:val="30"/>
          <w:szCs w:val="30"/>
        </w:rPr>
      </w:pPr>
      <w:r>
        <w:rPr>
          <w:rFonts w:ascii="Times New Roman" w:hAnsi="Times New Roman" w:eastAsia="仿宋_GB2312"/>
          <w:sz w:val="30"/>
          <w:szCs w:val="30"/>
        </w:rPr>
        <w:t>本任务的成果确认人为</w:t>
      </w:r>
      <w:r>
        <w:rPr>
          <w:rFonts w:hint="eastAsia" w:ascii="Times New Roman" w:hAnsi="Times New Roman" w:eastAsia="仿宋_GB2312"/>
          <w:sz w:val="30"/>
          <w:szCs w:val="30"/>
          <w:lang w:eastAsia="zh-CN"/>
        </w:rPr>
        <w:t>医药管理司</w:t>
      </w:r>
      <w:r>
        <w:rPr>
          <w:rFonts w:ascii="Times New Roman" w:hAnsi="Times New Roman" w:eastAsia="仿宋_GB2312"/>
          <w:sz w:val="30"/>
          <w:szCs w:val="30"/>
        </w:rPr>
        <w:t>司长，各项成果的最终用户为国家</w:t>
      </w:r>
      <w:r>
        <w:rPr>
          <w:rFonts w:hint="eastAsia" w:ascii="Times New Roman" w:hAnsi="Times New Roman" w:eastAsia="仿宋_GB2312"/>
          <w:sz w:val="30"/>
          <w:szCs w:val="30"/>
        </w:rPr>
        <w:t>医保局</w:t>
      </w:r>
      <w:r>
        <w:rPr>
          <w:rFonts w:hint="eastAsia" w:ascii="Times New Roman" w:hAnsi="Times New Roman" w:eastAsia="仿宋_GB2312"/>
          <w:sz w:val="30"/>
          <w:szCs w:val="30"/>
          <w:lang w:eastAsia="zh-CN"/>
        </w:rPr>
        <w:t>医药管理司</w:t>
      </w:r>
      <w:r>
        <w:rPr>
          <w:rFonts w:ascii="Times New Roman" w:hAnsi="Times New Roman" w:eastAsia="仿宋_GB2312"/>
          <w:sz w:val="30"/>
          <w:szCs w:val="30"/>
        </w:rPr>
        <w:t>。</w:t>
      </w:r>
      <w:r>
        <w:rPr>
          <w:rFonts w:hint="eastAsia" w:ascii="Times New Roman" w:hAnsi="Times New Roman" w:eastAsia="仿宋_GB2312"/>
          <w:sz w:val="30"/>
          <w:szCs w:val="30"/>
        </w:rPr>
        <w:t>任务</w:t>
      </w:r>
      <w:r>
        <w:rPr>
          <w:rFonts w:ascii="Times New Roman" w:hAnsi="Times New Roman" w:eastAsia="仿宋_GB2312"/>
          <w:sz w:val="30"/>
          <w:szCs w:val="30"/>
        </w:rPr>
        <w:t>具体完工的标志即完成前述“交付成果”所列的研究报告。</w:t>
      </w:r>
    </w:p>
    <w:p>
      <w:pPr>
        <w:keepNext w:val="0"/>
        <w:keepLines w:val="0"/>
        <w:pageBreakBefore w:val="0"/>
        <w:widowControl w:val="0"/>
        <w:kinsoku/>
        <w:wordWrap/>
        <w:topLinePunct w:val="0"/>
        <w:bidi w:val="0"/>
        <w:adjustRightInd w:val="0"/>
        <w:snapToGrid w:val="0"/>
        <w:spacing w:line="360" w:lineRule="auto"/>
        <w:ind w:firstLine="600" w:firstLineChars="200"/>
        <w:textAlignment w:val="auto"/>
        <w:rPr>
          <w:rFonts w:ascii="Times New Roman" w:hAnsi="Times New Roman" w:eastAsia="仿宋_GB2312"/>
          <w:sz w:val="30"/>
          <w:szCs w:val="30"/>
        </w:rPr>
      </w:pPr>
      <w:r>
        <w:rPr>
          <w:rFonts w:ascii="Times New Roman" w:hAnsi="Times New Roman" w:eastAsia="仿宋_GB2312"/>
          <w:sz w:val="30"/>
          <w:szCs w:val="30"/>
        </w:rPr>
        <w:t>咨询机构向</w:t>
      </w:r>
      <w:r>
        <w:rPr>
          <w:rFonts w:hint="eastAsia" w:ascii="Times New Roman" w:hAnsi="Times New Roman" w:eastAsia="仿宋_GB2312"/>
          <w:sz w:val="30"/>
          <w:szCs w:val="30"/>
          <w:lang w:eastAsia="zh-CN"/>
        </w:rPr>
        <w:t>医药管理司</w:t>
      </w:r>
      <w:r>
        <w:rPr>
          <w:rFonts w:ascii="Times New Roman" w:hAnsi="Times New Roman" w:eastAsia="仿宋_GB2312"/>
          <w:sz w:val="30"/>
          <w:szCs w:val="30"/>
        </w:rPr>
        <w:t>有关负责人报告。为保证</w:t>
      </w:r>
      <w:r>
        <w:rPr>
          <w:rFonts w:hint="eastAsia" w:ascii="Times New Roman" w:hAnsi="Times New Roman" w:eastAsia="仿宋_GB2312"/>
          <w:sz w:val="30"/>
          <w:szCs w:val="30"/>
        </w:rPr>
        <w:t>任务</w:t>
      </w:r>
      <w:r>
        <w:rPr>
          <w:rFonts w:ascii="Times New Roman" w:hAnsi="Times New Roman" w:eastAsia="仿宋_GB2312"/>
          <w:sz w:val="30"/>
          <w:szCs w:val="30"/>
        </w:rPr>
        <w:t>的顺利实施，咨询机构接受财政部项目管理办公室和世界银行项目管理组的监督。</w:t>
      </w:r>
      <w:r>
        <w:rPr>
          <w:rFonts w:hint="eastAsia" w:ascii="Times New Roman" w:hAnsi="Times New Roman" w:eastAsia="仿宋_GB2312"/>
          <w:sz w:val="30"/>
          <w:szCs w:val="30"/>
          <w:lang w:eastAsia="zh-CN"/>
        </w:rPr>
        <w:t>医药管理司</w:t>
      </w:r>
      <w:r>
        <w:rPr>
          <w:rFonts w:ascii="Times New Roman" w:hAnsi="Times New Roman" w:eastAsia="仿宋_GB2312"/>
          <w:sz w:val="30"/>
          <w:szCs w:val="30"/>
        </w:rPr>
        <w:t>将为开展本任务提供必要的条件。</w:t>
      </w:r>
    </w:p>
    <w:p>
      <w:pPr>
        <w:keepNext w:val="0"/>
        <w:keepLines w:val="0"/>
        <w:pageBreakBefore w:val="0"/>
        <w:widowControl w:val="0"/>
        <w:kinsoku/>
        <w:wordWrap/>
        <w:topLinePunct w:val="0"/>
        <w:bidi w:val="0"/>
        <w:snapToGrid w:val="0"/>
        <w:spacing w:line="360" w:lineRule="auto"/>
        <w:ind w:firstLine="600" w:firstLineChars="200"/>
        <w:textAlignment w:val="auto"/>
        <w:rPr>
          <w:rFonts w:ascii="Times New Roman" w:hAnsi="Times New Roman" w:eastAsia="仿宋_GB2312"/>
          <w:sz w:val="30"/>
          <w:szCs w:val="30"/>
        </w:rPr>
      </w:pP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0"/>
      </w:rPr>
    </w:pPr>
    <w:r>
      <w:fldChar w:fldCharType="begin"/>
    </w:r>
    <w:r>
      <w:rPr>
        <w:rStyle w:val="10"/>
      </w:rPr>
      <w:instrText xml:space="preserve">PAGE  </w:instrText>
    </w:r>
    <w:r>
      <w:fldChar w:fldCharType="separate"/>
    </w:r>
    <w:r>
      <w:rPr>
        <w:rStyle w:val="10"/>
      </w:rPr>
      <w:t>4</w:t>
    </w:r>
    <w:r>
      <w:fldChar w:fldCharType="end"/>
    </w:r>
  </w:p>
  <w:p>
    <w:pPr>
      <w:pStyle w:val="7"/>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5A11"/>
    <w:rsid w:val="00003209"/>
    <w:rsid w:val="000124A2"/>
    <w:rsid w:val="000539CB"/>
    <w:rsid w:val="00147C3A"/>
    <w:rsid w:val="00170B22"/>
    <w:rsid w:val="00181DCF"/>
    <w:rsid w:val="00226529"/>
    <w:rsid w:val="00271436"/>
    <w:rsid w:val="002913A2"/>
    <w:rsid w:val="002F3A2A"/>
    <w:rsid w:val="002F5459"/>
    <w:rsid w:val="00305A11"/>
    <w:rsid w:val="003137C9"/>
    <w:rsid w:val="00346C73"/>
    <w:rsid w:val="00362FF2"/>
    <w:rsid w:val="003801B1"/>
    <w:rsid w:val="00390835"/>
    <w:rsid w:val="00396F2F"/>
    <w:rsid w:val="003C0FE0"/>
    <w:rsid w:val="003D311F"/>
    <w:rsid w:val="003D3ACF"/>
    <w:rsid w:val="003D5E93"/>
    <w:rsid w:val="004028CA"/>
    <w:rsid w:val="004255E4"/>
    <w:rsid w:val="00432385"/>
    <w:rsid w:val="004418FD"/>
    <w:rsid w:val="00506199"/>
    <w:rsid w:val="00554B6C"/>
    <w:rsid w:val="00556FF8"/>
    <w:rsid w:val="00591D09"/>
    <w:rsid w:val="005F0C6C"/>
    <w:rsid w:val="00632894"/>
    <w:rsid w:val="00635A31"/>
    <w:rsid w:val="00652D79"/>
    <w:rsid w:val="00662652"/>
    <w:rsid w:val="00686E65"/>
    <w:rsid w:val="00755DE0"/>
    <w:rsid w:val="007936A5"/>
    <w:rsid w:val="0079371F"/>
    <w:rsid w:val="007A154F"/>
    <w:rsid w:val="007A492C"/>
    <w:rsid w:val="007D2E74"/>
    <w:rsid w:val="00870A22"/>
    <w:rsid w:val="008F5CAC"/>
    <w:rsid w:val="00970465"/>
    <w:rsid w:val="009B1C5B"/>
    <w:rsid w:val="009E6EA9"/>
    <w:rsid w:val="00A16474"/>
    <w:rsid w:val="00A26AB4"/>
    <w:rsid w:val="00A432A1"/>
    <w:rsid w:val="00A54DAF"/>
    <w:rsid w:val="00A60C24"/>
    <w:rsid w:val="00AA618A"/>
    <w:rsid w:val="00AC703F"/>
    <w:rsid w:val="00AC7D81"/>
    <w:rsid w:val="00AF3445"/>
    <w:rsid w:val="00B402C9"/>
    <w:rsid w:val="00B67C15"/>
    <w:rsid w:val="00BC11F0"/>
    <w:rsid w:val="00BF20DC"/>
    <w:rsid w:val="00C26F16"/>
    <w:rsid w:val="00C55916"/>
    <w:rsid w:val="00C82912"/>
    <w:rsid w:val="00C96F52"/>
    <w:rsid w:val="00CD5345"/>
    <w:rsid w:val="00CD77FD"/>
    <w:rsid w:val="00CE726B"/>
    <w:rsid w:val="00D12E4E"/>
    <w:rsid w:val="00D9040B"/>
    <w:rsid w:val="00DC2E52"/>
    <w:rsid w:val="00DE1708"/>
    <w:rsid w:val="00DE3046"/>
    <w:rsid w:val="00E05919"/>
    <w:rsid w:val="00E55484"/>
    <w:rsid w:val="00E633F5"/>
    <w:rsid w:val="00E72371"/>
    <w:rsid w:val="00EC24F6"/>
    <w:rsid w:val="00F5307E"/>
    <w:rsid w:val="00F57BBB"/>
    <w:rsid w:val="00FC001B"/>
    <w:rsid w:val="00FD0EF2"/>
    <w:rsid w:val="00FE596C"/>
    <w:rsid w:val="040D4152"/>
    <w:rsid w:val="093B7C41"/>
    <w:rsid w:val="0DD62DC3"/>
    <w:rsid w:val="12EF0B6C"/>
    <w:rsid w:val="21D970E6"/>
    <w:rsid w:val="25092A14"/>
    <w:rsid w:val="299747B8"/>
    <w:rsid w:val="2B88022D"/>
    <w:rsid w:val="48835B33"/>
    <w:rsid w:val="4DED20CD"/>
    <w:rsid w:val="511B3F21"/>
    <w:rsid w:val="53FA49C2"/>
    <w:rsid w:val="5C8F266C"/>
    <w:rsid w:val="69805AA1"/>
    <w:rsid w:val="73EBE324"/>
    <w:rsid w:val="75845449"/>
    <w:rsid w:val="78FF354B"/>
    <w:rsid w:val="7DCE4CE6"/>
    <w:rsid w:val="B55A6BCB"/>
    <w:rsid w:val="D3FEA4C6"/>
    <w:rsid w:val="D7F6CC82"/>
    <w:rsid w:val="DF6F5DA5"/>
    <w:rsid w:val="F7EAEACC"/>
    <w:rsid w:val="FDFCB660"/>
    <w:rsid w:val="FEF8A0CE"/>
    <w:rsid w:val="FF6D20E0"/>
    <w:rsid w:val="FFFF153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9">
    <w:name w:val="Default Paragraph Font"/>
    <w:semiHidden/>
    <w:unhideWhenUsed/>
    <w:uiPriority w:val="1"/>
  </w:style>
  <w:style w:type="table" w:default="1" w:styleId="12">
    <w:name w:val="Normal Table"/>
    <w:semiHidden/>
    <w:unhideWhenUsed/>
    <w:qFormat/>
    <w:uiPriority w:val="99"/>
    <w:tblPr>
      <w:tblLayout w:type="fixed"/>
      <w:tblCellMar>
        <w:top w:w="0" w:type="dxa"/>
        <w:left w:w="108" w:type="dxa"/>
        <w:bottom w:w="0" w:type="dxa"/>
        <w:right w:w="108" w:type="dxa"/>
      </w:tblCellMar>
    </w:tblPr>
  </w:style>
  <w:style w:type="paragraph" w:styleId="2">
    <w:name w:val="annotation subject"/>
    <w:basedOn w:val="3"/>
    <w:next w:val="3"/>
    <w:link w:val="20"/>
    <w:qFormat/>
    <w:uiPriority w:val="0"/>
    <w:pPr>
      <w:spacing w:after="0" w:line="240" w:lineRule="auto"/>
    </w:pPr>
    <w:rPr>
      <w:rFonts w:ascii="Calibri" w:hAnsi="Calibri"/>
      <w:b/>
      <w:bCs/>
      <w:szCs w:val="22"/>
    </w:rPr>
  </w:style>
  <w:style w:type="paragraph" w:styleId="3">
    <w:name w:val="annotation text"/>
    <w:basedOn w:val="1"/>
    <w:link w:val="15"/>
    <w:semiHidden/>
    <w:qFormat/>
    <w:uiPriority w:val="0"/>
    <w:pPr>
      <w:spacing w:after="200" w:line="276" w:lineRule="auto"/>
      <w:jc w:val="left"/>
    </w:pPr>
    <w:rPr>
      <w:rFonts w:ascii="Times New Roman" w:hAnsi="Times New Roman"/>
      <w:szCs w:val="24"/>
    </w:rPr>
  </w:style>
  <w:style w:type="paragraph" w:styleId="4">
    <w:name w:val="Document Map"/>
    <w:basedOn w:val="1"/>
    <w:link w:val="17"/>
    <w:qFormat/>
    <w:uiPriority w:val="0"/>
    <w:rPr>
      <w:rFonts w:ascii="宋体"/>
      <w:sz w:val="18"/>
      <w:szCs w:val="18"/>
    </w:rPr>
  </w:style>
  <w:style w:type="paragraph" w:styleId="5">
    <w:name w:val="Body Text Indent"/>
    <w:basedOn w:val="1"/>
    <w:link w:val="14"/>
    <w:qFormat/>
    <w:uiPriority w:val="0"/>
    <w:pPr>
      <w:overflowPunct w:val="0"/>
      <w:autoSpaceDE w:val="0"/>
      <w:autoSpaceDN w:val="0"/>
      <w:spacing w:after="200" w:line="400" w:lineRule="atLeast"/>
      <w:ind w:firstLine="436" w:firstLineChars="200"/>
    </w:pPr>
    <w:rPr>
      <w:rFonts w:ascii="宋体" w:hAnsi="Times New Roman"/>
      <w:spacing w:val="4"/>
      <w:kern w:val="0"/>
      <w:sz w:val="24"/>
      <w:szCs w:val="20"/>
    </w:rPr>
  </w:style>
  <w:style w:type="paragraph" w:styleId="6">
    <w:name w:val="Balloon Text"/>
    <w:basedOn w:val="1"/>
    <w:link w:val="19"/>
    <w:qFormat/>
    <w:uiPriority w:val="0"/>
    <w:rPr>
      <w:rFonts w:ascii="宋体"/>
      <w:sz w:val="18"/>
      <w:szCs w:val="18"/>
    </w:rPr>
  </w:style>
  <w:style w:type="paragraph" w:styleId="7">
    <w:name w:val="footer"/>
    <w:basedOn w:val="1"/>
    <w:link w:val="16"/>
    <w:semiHidden/>
    <w:qFormat/>
    <w:uiPriority w:val="0"/>
    <w:pPr>
      <w:tabs>
        <w:tab w:val="center" w:pos="4153"/>
        <w:tab w:val="right" w:pos="8306"/>
      </w:tabs>
      <w:snapToGrid w:val="0"/>
      <w:jc w:val="left"/>
    </w:pPr>
    <w:rPr>
      <w:sz w:val="18"/>
      <w:szCs w:val="18"/>
    </w:rPr>
  </w:style>
  <w:style w:type="paragraph" w:styleId="8">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character" w:styleId="10">
    <w:name w:val="page number"/>
    <w:basedOn w:val="9"/>
    <w:qFormat/>
    <w:uiPriority w:val="0"/>
  </w:style>
  <w:style w:type="character" w:styleId="11">
    <w:name w:val="annotation reference"/>
    <w:basedOn w:val="9"/>
    <w:semiHidden/>
    <w:qFormat/>
    <w:uiPriority w:val="0"/>
    <w:rPr>
      <w:rFonts w:cs="Times New Roman"/>
      <w:sz w:val="21"/>
      <w:szCs w:val="21"/>
    </w:rPr>
  </w:style>
  <w:style w:type="table" w:styleId="13">
    <w:name w:val="Table Grid"/>
    <w:basedOn w:val="12"/>
    <w:qFormat/>
    <w:uiPriority w:val="59"/>
    <w:rPr>
      <w:rFonts w:asciiTheme="minorHAnsi" w:hAnsiTheme="minorHAnsi" w:eastAsiaTheme="minorEastAsia" w:cstheme="minorBidi"/>
      <w:kern w:val="2"/>
      <w:sz w:val="21"/>
      <w:szCs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Pr>
  </w:style>
  <w:style w:type="character" w:customStyle="1" w:styleId="14">
    <w:name w:val="正文文本缩进 字符"/>
    <w:link w:val="5"/>
    <w:qFormat/>
    <w:locked/>
    <w:uiPriority w:val="0"/>
    <w:rPr>
      <w:rFonts w:ascii="宋体" w:eastAsia="宋体"/>
      <w:spacing w:val="4"/>
      <w:sz w:val="24"/>
      <w:lang w:bidi="ar-SA"/>
    </w:rPr>
  </w:style>
  <w:style w:type="character" w:customStyle="1" w:styleId="15">
    <w:name w:val="批注文字 字符"/>
    <w:basedOn w:val="9"/>
    <w:link w:val="3"/>
    <w:semiHidden/>
    <w:qFormat/>
    <w:locked/>
    <w:uiPriority w:val="0"/>
    <w:rPr>
      <w:rFonts w:eastAsia="宋体"/>
      <w:kern w:val="2"/>
      <w:sz w:val="21"/>
      <w:szCs w:val="24"/>
      <w:lang w:val="en-US" w:eastAsia="zh-CN" w:bidi="ar-SA"/>
    </w:rPr>
  </w:style>
  <w:style w:type="character" w:customStyle="1" w:styleId="16">
    <w:name w:val="页脚 字符"/>
    <w:basedOn w:val="9"/>
    <w:link w:val="7"/>
    <w:semiHidden/>
    <w:qFormat/>
    <w:locked/>
    <w:uiPriority w:val="0"/>
    <w:rPr>
      <w:rFonts w:ascii="Calibri" w:hAnsi="Calibri" w:eastAsia="宋体"/>
      <w:kern w:val="2"/>
      <w:sz w:val="18"/>
      <w:szCs w:val="18"/>
      <w:lang w:val="en-US" w:eastAsia="zh-CN" w:bidi="ar-SA"/>
    </w:rPr>
  </w:style>
  <w:style w:type="character" w:customStyle="1" w:styleId="17">
    <w:name w:val="文档结构图 字符"/>
    <w:basedOn w:val="9"/>
    <w:link w:val="4"/>
    <w:qFormat/>
    <w:uiPriority w:val="0"/>
    <w:rPr>
      <w:rFonts w:ascii="宋体" w:hAnsi="Calibri"/>
      <w:kern w:val="2"/>
      <w:sz w:val="18"/>
      <w:szCs w:val="18"/>
    </w:rPr>
  </w:style>
  <w:style w:type="character" w:customStyle="1" w:styleId="18">
    <w:name w:val="页眉 字符"/>
    <w:basedOn w:val="9"/>
    <w:link w:val="8"/>
    <w:qFormat/>
    <w:uiPriority w:val="0"/>
    <w:rPr>
      <w:rFonts w:ascii="Calibri" w:hAnsi="Calibri"/>
      <w:kern w:val="2"/>
      <w:sz w:val="18"/>
      <w:szCs w:val="18"/>
    </w:rPr>
  </w:style>
  <w:style w:type="character" w:customStyle="1" w:styleId="19">
    <w:name w:val="批注框文本 字符"/>
    <w:basedOn w:val="9"/>
    <w:link w:val="6"/>
    <w:qFormat/>
    <w:uiPriority w:val="0"/>
    <w:rPr>
      <w:rFonts w:ascii="宋体" w:hAnsi="Calibri"/>
      <w:kern w:val="2"/>
      <w:sz w:val="18"/>
      <w:szCs w:val="18"/>
    </w:rPr>
  </w:style>
  <w:style w:type="character" w:customStyle="1" w:styleId="20">
    <w:name w:val="批注主题 字符"/>
    <w:basedOn w:val="15"/>
    <w:link w:val="2"/>
    <w:qFormat/>
    <w:uiPriority w:val="0"/>
    <w:rPr>
      <w:rFonts w:ascii="Calibri" w:hAnsi="Calibri" w:eastAsia="宋体"/>
      <w:b/>
      <w:bCs/>
      <w:kern w:val="2"/>
      <w:sz w:val="21"/>
      <w:szCs w:val="22"/>
      <w:lang w:val="en-US" w:eastAsia="zh-CN" w:bidi="ar-SA"/>
    </w:rPr>
  </w:style>
  <w:style w:type="character" w:customStyle="1" w:styleId="21">
    <w:name w:val="apple-converted-space"/>
    <w:qFormat/>
    <w:uiPriority w:val="0"/>
  </w:style>
  <w:style w:type="paragraph" w:styleId="2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NDRC</Company>
  <Pages>5</Pages>
  <Words>357</Words>
  <Characters>2035</Characters>
  <Lines>16</Lines>
  <Paragraphs>4</Paragraphs>
  <TotalTime>2</TotalTime>
  <ScaleCrop>false</ScaleCrop>
  <LinksUpToDate>false</LinksUpToDate>
  <CharactersWithSpaces>2388</CharactersWithSpaces>
  <Application>WPS Office_10.8.2.6666_F1E327BC-269C-435d-A152-05C5408002CA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2020-01-15T01:21:00Z</dcterms:created>
  <dc:creator>廖胜</dc:creator>
  <cp:lastModifiedBy>tujy</cp:lastModifiedBy>
  <cp:lastPrinted>2020-01-16T06:28:00Z</cp:lastPrinted>
  <dcterms:modified xsi:type="dcterms:W3CDTF">2020-01-17T07:49:12Z</dcterms:modified>
  <dc:title>新形势下外商投资和境外投资法律体系研究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2052-10.8.2.6666</vt:lpwstr>
  </property>
</Properties>
</file>