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EFD5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440" w:firstLineChars="1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</w:rPr>
        <w:t>按病组（DRG）付费2.0版分组方案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介绍</w:t>
      </w:r>
    </w:p>
    <w:bookmarkEnd w:id="0"/>
    <w:p w14:paraId="3BBCD77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1E87AD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国家医保局组织专家充分吸收各方意见建议，深入分析医疗机构历史数据，编制了按病组（DRG）付费2.0版分组方案（以下简称“DRG2.0版分组”）。</w:t>
      </w:r>
    </w:p>
    <w:p w14:paraId="3F1232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Cs/>
          <w:color w:val="000000"/>
          <w:sz w:val="32"/>
          <w:szCs w:val="32"/>
        </w:rPr>
        <w:t>一、</w:t>
      </w:r>
      <w:r>
        <w:rPr>
          <w:rFonts w:hint="default" w:ascii="Times New Roman" w:hAnsi="Times New Roman" w:eastAsia="黑体" w:cs="Times New Roman"/>
          <w:bCs/>
          <w:color w:val="000000"/>
          <w:sz w:val="32"/>
          <w:szCs w:val="32"/>
          <w:lang w:val="en-US" w:eastAsia="zh-CN"/>
        </w:rPr>
        <w:t>总体情况</w:t>
      </w:r>
    </w:p>
    <w:p w14:paraId="5C5F05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DRG2.0版分组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是DRG付费理论和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国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医保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实践相结合的成果，以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国医疗服务特点和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医保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实际费用数据为基础，形成的用于全国医保DRG付费的统一分组版本。2019年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2021年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，国家医保局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分别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发布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DRG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分组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1.0版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1.1版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为进一步优化分组，国家医保局广泛收集地方医保部门、医疗机构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及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学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bCs/>
          <w:sz w:val="32"/>
          <w:szCs w:val="32"/>
        </w:rPr>
        <w:t>协会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近万条意见建议，深入分析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2020年以来78个城市的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5371万份病例数据样本，组织近千名来自临床、统计、编码、医保及医院管理等多领域专家，召开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几十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场论证会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分组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升级至2.0版。</w:t>
      </w:r>
    </w:p>
    <w:p w14:paraId="3548C7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黑体" w:cs="Times New Roman"/>
          <w:sz w:val="32"/>
          <w:szCs w:val="32"/>
        </w:rPr>
        <w:t>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分组内容</w:t>
      </w:r>
    </w:p>
    <w:p w14:paraId="0B9593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DRG2.0版分组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基本结构包括主要诊断大类（MDC）、核心分组（ADRG）和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分组（DRG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s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）三个部分。</w:t>
      </w:r>
    </w:p>
    <w:p w14:paraId="629C03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bidi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bidi="zh-CN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bidi="zh-CN"/>
        </w:rPr>
        <w:t>一）</w:t>
      </w:r>
      <w:r>
        <w:rPr>
          <w:rFonts w:hint="default" w:ascii="Times New Roman" w:hAnsi="Times New Roman" w:eastAsia="楷体_GB2312" w:cs="Times New Roman"/>
          <w:sz w:val="32"/>
          <w:szCs w:val="32"/>
          <w:lang w:bidi="zh-CN"/>
        </w:rPr>
        <w:t>主要诊断大类（MDC）</w:t>
      </w:r>
    </w:p>
    <w:p w14:paraId="57C747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设置26个MDC，分为先期分组（MDCA）、新生儿疾病（MDCP）、HIV感染疾病及相关操作（MDCY）、多发严重创伤（MDCZ）和常规分组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每个常规分组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包含一张主要诊断表，原则上一个主要诊断唯一入组一个MDC。</w:t>
      </w:r>
    </w:p>
    <w:p w14:paraId="0B4D29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bidi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bidi="zh-CN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bidi="zh-CN"/>
        </w:rPr>
        <w:t>二）</w:t>
      </w:r>
      <w:r>
        <w:rPr>
          <w:rFonts w:hint="default" w:ascii="Times New Roman" w:hAnsi="Times New Roman" w:eastAsia="楷体_GB2312" w:cs="Times New Roman"/>
          <w:sz w:val="32"/>
          <w:szCs w:val="32"/>
          <w:lang w:bidi="zh-CN"/>
        </w:rPr>
        <w:t>核心分组（ADRG）</w:t>
      </w:r>
    </w:p>
    <w:p w14:paraId="7C075D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在每个MDC下，以临床专业规范和数据校验结果为依据编制ADRG，分为外科手术组、非手术室操作组和内科诊疗组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共409个。此外，形成了不作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ADRG入组规则的疾病诊断列表（1849条）和手术操作列表（1827条）。</w:t>
      </w:r>
    </w:p>
    <w:p w14:paraId="382A94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bidi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bidi="zh-CN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bidi="zh-CN"/>
        </w:rPr>
        <w:t>三）细</w:t>
      </w:r>
      <w:r>
        <w:rPr>
          <w:rFonts w:hint="default" w:ascii="Times New Roman" w:hAnsi="Times New Roman" w:eastAsia="楷体_GB2312" w:cs="Times New Roman"/>
          <w:sz w:val="32"/>
          <w:szCs w:val="32"/>
          <w:lang w:bidi="zh-CN"/>
        </w:rPr>
        <w:t>分组（DRG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 w:bidi="zh-CN"/>
        </w:rPr>
        <w:t>s</w:t>
      </w:r>
      <w:r>
        <w:rPr>
          <w:rFonts w:hint="default" w:ascii="Times New Roman" w:hAnsi="Times New Roman" w:eastAsia="楷体_GB2312" w:cs="Times New Roman"/>
          <w:sz w:val="32"/>
          <w:szCs w:val="32"/>
          <w:lang w:bidi="zh-CN"/>
        </w:rPr>
        <w:t>）</w:t>
      </w:r>
    </w:p>
    <w:p w14:paraId="31CBB5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在每个ADRG下，综合考虑病例的合并症或并发症、个体特征等因素，运用统计学方法，并结合麻醉风险分级，形成了严重合并症或并发症（MCC）和合并症或并发症（CC）列表，将ADRG细分至DRG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s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，共634个，包括251个外科手术组，57个非手术室操作组及326个内科诊疗组。</w:t>
      </w:r>
    </w:p>
    <w:p w14:paraId="7A9CA7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经统计，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DRG2.0版分组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入组率为92.8%，代表分组效能的组间差异（RIV）为71.0%。</w:t>
      </w:r>
    </w:p>
    <w:p w14:paraId="7B4D9F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黑体" w:cs="Times New Roman"/>
          <w:sz w:val="32"/>
          <w:szCs w:val="32"/>
        </w:rPr>
        <w:t>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相关说明</w:t>
      </w:r>
    </w:p>
    <w:p w14:paraId="35C9F26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楷体_GB2312" w:cs="Times New Roman"/>
          <w:bCs/>
          <w:sz w:val="32"/>
          <w:szCs w:val="32"/>
          <w:lang w:bidi="zh-CN"/>
        </w:rPr>
      </w:pPr>
      <w:r>
        <w:rPr>
          <w:rFonts w:hint="default" w:ascii="Times New Roman" w:hAnsi="Times New Roman" w:eastAsia="楷体_GB2312" w:cs="Times New Roman"/>
          <w:bCs/>
          <w:sz w:val="32"/>
          <w:szCs w:val="32"/>
          <w:lang w:bidi="zh-CN"/>
        </w:rPr>
        <w:t>（</w:t>
      </w:r>
      <w:r>
        <w:rPr>
          <w:rFonts w:hint="default" w:ascii="Times New Roman" w:hAnsi="Times New Roman" w:eastAsia="楷体_GB2312" w:cs="Times New Roman"/>
          <w:bCs/>
          <w:sz w:val="32"/>
          <w:szCs w:val="32"/>
          <w:lang w:val="en-US" w:bidi="zh-CN"/>
        </w:rPr>
        <w:t>一）</w:t>
      </w:r>
      <w:r>
        <w:rPr>
          <w:rFonts w:hint="default" w:ascii="Times New Roman" w:hAnsi="Times New Roman" w:eastAsia="楷体_GB2312" w:cs="Times New Roman"/>
          <w:bCs/>
          <w:sz w:val="32"/>
          <w:szCs w:val="32"/>
          <w:lang w:bidi="zh-CN"/>
        </w:rPr>
        <w:t>回应临床关切</w:t>
      </w:r>
    </w:p>
    <w:p w14:paraId="070AD3B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lang w:bidi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DRG2.0版</w:t>
      </w:r>
      <w:r>
        <w:rPr>
          <w:rFonts w:hint="default" w:ascii="Times New Roman" w:hAnsi="Times New Roman" w:eastAsia="仿宋_GB2312" w:cs="Times New Roman"/>
        </w:rPr>
        <w:t>分组</w:t>
      </w:r>
      <w:r>
        <w:rPr>
          <w:rFonts w:hint="default" w:ascii="Times New Roman" w:hAnsi="Times New Roman" w:eastAsia="仿宋_GB2312" w:cs="Times New Roman"/>
          <w:lang w:eastAsia="zh-CN"/>
        </w:rPr>
        <w:t>重点</w:t>
      </w:r>
      <w:r>
        <w:rPr>
          <w:rFonts w:hint="default" w:ascii="Times New Roman" w:hAnsi="Times New Roman" w:eastAsia="仿宋_GB2312" w:cs="Times New Roman"/>
          <w:bCs/>
          <w:lang w:val="en-US"/>
        </w:rPr>
        <w:t>对临床意见比较集中的重症医学、血液免疫、肿瘤、烧伤、口腔颌面外科等13个学科，以及联合手术、复合手术问题进行了优化完善。</w:t>
      </w:r>
    </w:p>
    <w:p w14:paraId="2953B4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Times New Roman" w:hAnsi="Times New Roman" w:eastAsia="仿宋_GB2312" w:cs="Times New Roman"/>
          <w:bCs/>
          <w:kern w:val="2"/>
          <w:sz w:val="32"/>
          <w:szCs w:val="32"/>
          <w:lang w:val="en-US" w:eastAsia="zh-CN" w:bidi="zh-CN"/>
        </w:rPr>
      </w:pPr>
      <w:r>
        <w:rPr>
          <w:rFonts w:hint="default" w:ascii="Times New Roman" w:hAnsi="Times New Roman" w:eastAsia="仿宋_GB2312" w:cs="Times New Roman"/>
          <w:bCs/>
          <w:kern w:val="2"/>
          <w:sz w:val="32"/>
          <w:szCs w:val="32"/>
          <w:lang w:val="en-US" w:eastAsia="zh-CN" w:bidi="zh-CN"/>
        </w:rPr>
        <w:t xml:space="preserve">         表  2.0版与1.1版分组变化举例</w:t>
      </w:r>
    </w:p>
    <w:tbl>
      <w:tblPr>
        <w:tblStyle w:val="4"/>
        <w:tblW w:w="928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1147"/>
        <w:gridCol w:w="3000"/>
        <w:gridCol w:w="1061"/>
        <w:gridCol w:w="3127"/>
      </w:tblGrid>
      <w:tr w14:paraId="384B4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27D00B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学科</w:t>
            </w: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4D1257">
            <w:pPr>
              <w:pStyle w:val="2"/>
              <w:ind w:left="419" w:leftChars="0" w:hanging="419" w:hangingChars="233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1.1ADRG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E91EFA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1.1ADRG名称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21E24C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2.0ADRG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9D5CE4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2.0ADRG名称</w:t>
            </w:r>
          </w:p>
        </w:tc>
      </w:tr>
      <w:tr w14:paraId="2F3FD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9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CA8E33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重症医学</w:t>
            </w:r>
          </w:p>
        </w:tc>
        <w:tc>
          <w:tcPr>
            <w:tcW w:w="11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8B4C64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AH1</w:t>
            </w:r>
          </w:p>
        </w:tc>
        <w:tc>
          <w:tcPr>
            <w:tcW w:w="30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EB2837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有创呼吸机支持≥96小时或ECMO或全人工心脏移植术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2DE105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AH1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599EE8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ECMO或全人工心脏植入术</w:t>
            </w:r>
          </w:p>
        </w:tc>
      </w:tr>
      <w:tr w14:paraId="382A5F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AC4764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4E3D3C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EB83EB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1C3BCD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AH2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8CD1C2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有创呼吸机支持≥96小时</w:t>
            </w:r>
          </w:p>
        </w:tc>
      </w:tr>
      <w:tr w14:paraId="002C5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86242D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B4552B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AA2</w:t>
            </w:r>
          </w:p>
        </w:tc>
        <w:tc>
          <w:tcPr>
            <w:tcW w:w="30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63E635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心脏移植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5581B6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AA1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F17EF1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心肺移植</w:t>
            </w:r>
          </w:p>
        </w:tc>
      </w:tr>
      <w:tr w14:paraId="3C736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A52C73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D5E510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469C27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891296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AA2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0990DF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心脏移植</w:t>
            </w:r>
          </w:p>
        </w:tc>
      </w:tr>
      <w:tr w14:paraId="4D830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9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5083C7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血液专业</w:t>
            </w:r>
          </w:p>
        </w:tc>
        <w:tc>
          <w:tcPr>
            <w:tcW w:w="11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7DA36C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AG1</w:t>
            </w:r>
          </w:p>
        </w:tc>
        <w:tc>
          <w:tcPr>
            <w:tcW w:w="30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40CB13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异体骨髓／造血干细胞移植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6D773F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AG1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B4995B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eastAsia="宋体" w:cs="Times New Roman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eastAsia="zh-CN"/>
              </w:rPr>
              <w:t>非同胞全相合异基因造血干细胞移植</w:t>
            </w:r>
          </w:p>
        </w:tc>
      </w:tr>
      <w:tr w14:paraId="34EC8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5747B8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717A06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DE0721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5D6E47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AG2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AC53C3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eastAsia="宋体" w:cs="Times New Roman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eastAsia="zh-CN"/>
              </w:rPr>
              <w:t>同胞全相合异基因造血干细胞移植</w:t>
            </w:r>
          </w:p>
        </w:tc>
      </w:tr>
      <w:tr w14:paraId="12ECE2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59520C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662417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QR1</w:t>
            </w:r>
          </w:p>
        </w:tc>
        <w:tc>
          <w:tcPr>
            <w:tcW w:w="30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938A1F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网状内皮及免疫性疾患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ADF39F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QR1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7D4FE7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移植物抗宿主病</w:t>
            </w:r>
          </w:p>
        </w:tc>
      </w:tr>
      <w:tr w14:paraId="5F488D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364FAB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ADE085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6FC7FF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8B2106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QR2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08C5C1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网状内皮及免疫性疾病</w:t>
            </w:r>
          </w:p>
        </w:tc>
      </w:tr>
      <w:tr w14:paraId="17987B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568D0A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7786F3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QS3</w:t>
            </w:r>
          </w:p>
        </w:tc>
        <w:tc>
          <w:tcPr>
            <w:tcW w:w="30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00847E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再生障碍性贫血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92C448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QS3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3DD2C0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重型再生障碍性贫血</w:t>
            </w:r>
          </w:p>
        </w:tc>
      </w:tr>
      <w:tr w14:paraId="1DBD72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5D31BF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23C457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EEFA9E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B1DA21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QS4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0890E0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其他再生障碍性贫血</w:t>
            </w:r>
          </w:p>
        </w:tc>
      </w:tr>
      <w:tr w14:paraId="7E05E4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9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C65F7B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循环系统</w:t>
            </w:r>
          </w:p>
        </w:tc>
        <w:tc>
          <w:tcPr>
            <w:tcW w:w="11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D86D6F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FM1</w:t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FM2</w:t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FM4</w:t>
            </w:r>
          </w:p>
        </w:tc>
        <w:tc>
          <w:tcPr>
            <w:tcW w:w="30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B45F23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经皮冠状动脉支架植入</w:t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其他经皮心血管治疗</w:t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经皮大血管支架置入或修复术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F36525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FK1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8DC67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心脏循环辅助系统植入</w:t>
            </w:r>
          </w:p>
        </w:tc>
      </w:tr>
      <w:tr w14:paraId="2E5EDD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DCD14B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3F8217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444FB5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EB9B1B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FM3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87AD40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经皮冠状动脉支架植入</w:t>
            </w:r>
          </w:p>
        </w:tc>
      </w:tr>
      <w:tr w14:paraId="22F384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40B7B4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7F2E3D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D50D18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301430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FM4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856640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其他经皮心血管治疗</w:t>
            </w:r>
          </w:p>
        </w:tc>
      </w:tr>
      <w:tr w14:paraId="4CAE07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5B3652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21AD4E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35D1DA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62337C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FM1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DA5123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经皮大血管复杂手术</w:t>
            </w:r>
          </w:p>
        </w:tc>
      </w:tr>
      <w:tr w14:paraId="672324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5BBF05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21276F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4A7D07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02BBD9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FM2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0C880D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经皮大血管常规手术</w:t>
            </w:r>
          </w:p>
        </w:tc>
      </w:tr>
      <w:tr w14:paraId="4223EA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" w:hRule="atLeast"/>
        </w:trPr>
        <w:tc>
          <w:tcPr>
            <w:tcW w:w="9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01817F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神经系统</w:t>
            </w:r>
          </w:p>
        </w:tc>
        <w:tc>
          <w:tcPr>
            <w:tcW w:w="11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85230C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BC1</w:t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BB1</w:t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BB2</w:t>
            </w:r>
          </w:p>
        </w:tc>
        <w:tc>
          <w:tcPr>
            <w:tcW w:w="30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EF4C33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伴出血诊断的颅内血管手术</w:t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脑创伤开颅术</w:t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除创伤之外的其他开颅术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B37C2A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BB1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238DA9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神经系统复合手术</w:t>
            </w:r>
          </w:p>
        </w:tc>
      </w:tr>
      <w:tr w14:paraId="67F23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E0F977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96A868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34838A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7D9CBB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BB2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39E8D9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伴出血诊断的颅脑手术</w:t>
            </w:r>
          </w:p>
        </w:tc>
      </w:tr>
      <w:tr w14:paraId="00FBC2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C43F43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D6DCB4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7546CC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0E7E99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BB3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02A38A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伴肿瘤诊断的颅脑手术</w:t>
            </w:r>
          </w:p>
        </w:tc>
      </w:tr>
      <w:tr w14:paraId="6E897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3AD1D7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A77D2C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680263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FAFBBC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BB4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0A2527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伴创伤诊断的颅脑手术</w:t>
            </w:r>
          </w:p>
        </w:tc>
      </w:tr>
      <w:tr w14:paraId="61B06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4BD0DF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9FFA44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EB2EDE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9A1AE7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BB5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E88FF1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其他颅脑相关手术</w:t>
            </w:r>
          </w:p>
        </w:tc>
      </w:tr>
      <w:tr w14:paraId="135C0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EAF38E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056791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BT1</w:t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BT2</w:t>
            </w:r>
          </w:p>
        </w:tc>
        <w:tc>
          <w:tcPr>
            <w:tcW w:w="30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ABD833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病毒性脑、脊髓和脑膜炎</w:t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br w:type="textWrapping"/>
            </w:r>
            <w:r>
              <w:rPr>
                <w:rFonts w:hint="default" w:ascii="Times New Roman" w:hAnsi="Times New Roman" w:cs="Times New Roman"/>
                <w:sz w:val="18"/>
                <w:szCs w:val="18"/>
                <w:lang w:val="en-US" w:eastAsia="zh-CN"/>
              </w:rPr>
              <w:t>神经系统的其他感染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1629A6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  <w:t>BT1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DB5D19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  <w:t>病毒性脑、脊髓和脑膜炎</w:t>
            </w:r>
          </w:p>
        </w:tc>
      </w:tr>
      <w:tr w14:paraId="3D0E5D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E1E87E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77F5D5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349DAF">
            <w:pPr>
              <w:pStyle w:val="2"/>
              <w:jc w:val="center"/>
              <w:rPr>
                <w:rFonts w:hint="default"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9314FE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  <w:t>BT2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55ABC0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  <w:t>细菌性脑、脊髓和脑膜炎</w:t>
            </w:r>
          </w:p>
        </w:tc>
      </w:tr>
      <w:tr w14:paraId="2CF18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9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EA607A">
            <w:pPr>
              <w:pStyle w:val="2"/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76B749">
            <w:pPr>
              <w:pStyle w:val="2"/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3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703938">
            <w:pPr>
              <w:pStyle w:val="2"/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9AF779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  <w:t>BT3</w:t>
            </w:r>
          </w:p>
        </w:tc>
        <w:tc>
          <w:tcPr>
            <w:tcW w:w="3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7FB5EA">
            <w:pPr>
              <w:pStyle w:val="2"/>
              <w:ind w:left="0" w:leftChars="0" w:firstLine="0" w:firstLineChars="0"/>
              <w:jc w:val="center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  <w:t>神经系统的其他感染</w:t>
            </w:r>
          </w:p>
        </w:tc>
      </w:tr>
    </w:tbl>
    <w:p w14:paraId="341738D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楷体_GB2312" w:cs="Times New Roman"/>
          <w:bCs/>
          <w:sz w:val="32"/>
          <w:szCs w:val="32"/>
          <w:lang w:bidi="zh-CN"/>
        </w:rPr>
      </w:pPr>
      <w:r>
        <w:rPr>
          <w:rFonts w:hint="default" w:ascii="Times New Roman" w:hAnsi="Times New Roman" w:eastAsia="楷体_GB2312" w:cs="Times New Roman"/>
          <w:bCs/>
          <w:sz w:val="32"/>
          <w:szCs w:val="32"/>
          <w:lang w:bidi="zh-CN"/>
        </w:rPr>
        <w:t>（</w:t>
      </w:r>
      <w:r>
        <w:rPr>
          <w:rFonts w:hint="default" w:ascii="Times New Roman" w:hAnsi="Times New Roman" w:eastAsia="楷体_GB2312" w:cs="Times New Roman"/>
          <w:bCs/>
          <w:sz w:val="32"/>
          <w:szCs w:val="32"/>
          <w:lang w:val="en-US" w:bidi="zh-CN"/>
        </w:rPr>
        <w:t>二）</w:t>
      </w:r>
      <w:r>
        <w:rPr>
          <w:rFonts w:hint="default" w:ascii="Times New Roman" w:hAnsi="Times New Roman" w:eastAsia="楷体_GB2312" w:cs="Times New Roman"/>
          <w:bCs/>
          <w:sz w:val="32"/>
          <w:szCs w:val="32"/>
          <w:lang w:bidi="zh-CN"/>
        </w:rPr>
        <w:t>升级分组方法</w:t>
      </w:r>
    </w:p>
    <w:p w14:paraId="0D391F2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left="0" w:leftChars="0" w:firstLine="643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  <w:lang w:bidi="zh-CN"/>
        </w:rPr>
      </w:pPr>
      <w:r>
        <w:rPr>
          <w:rFonts w:hint="default" w:ascii="Times New Roman" w:hAnsi="Times New Roman" w:eastAsia="仿宋_GB2312" w:cs="Times New Roman"/>
          <w:b/>
          <w:bCs/>
          <w:color w:val="000000"/>
          <w:sz w:val="32"/>
          <w:szCs w:val="32"/>
          <w:lang w:val="en-US" w:bidi="zh-CN"/>
        </w:rPr>
        <w:t>一是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bidi="zh-CN"/>
        </w:rPr>
        <w:t>优化临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bidi="zh-CN"/>
        </w:rPr>
        <w:t>床论证方式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bidi="zh-CN"/>
        </w:rPr>
        <w:t>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bidi="zh-CN"/>
        </w:rPr>
        <w:t>在原有31个临床论证组独立论证的基础上，建立了多专业联合论证模式，如开展耳鼻喉科和颌面外科、心脏大血管外科和心血管内科的联合论证，分组结果兼顾各相关学科规律，更加符合临床实际情况。</w:t>
      </w:r>
    </w:p>
    <w:p w14:paraId="4F7F899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left="0" w:leftChars="0" w:firstLine="643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bidi="zh-CN"/>
        </w:rPr>
      </w:pPr>
      <w:r>
        <w:rPr>
          <w:rFonts w:hint="default" w:ascii="Times New Roman" w:hAnsi="Times New Roman" w:eastAsia="仿宋_GB2312" w:cs="Times New Roman"/>
          <w:b/>
          <w:bCs/>
          <w:color w:val="000000"/>
          <w:sz w:val="32"/>
          <w:szCs w:val="32"/>
          <w:lang w:val="en-US" w:bidi="zh-CN"/>
        </w:rPr>
        <w:t>二是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bidi="zh-CN"/>
        </w:rPr>
        <w:t>升级统计分析方法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bidi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sz w:val="32"/>
          <w:szCs w:val="32"/>
        </w:rPr>
        <w:t>实现“多目标同时优化，获得最优方案”的效果。对遗传算法</w:t>
      </w:r>
      <w:r>
        <w:rPr>
          <w:rFonts w:hint="default" w:ascii="Times New Roman" w:hAnsi="Times New Roman" w:eastAsia="仿宋_GB2312" w:cs="Times New Roman"/>
          <w:snapToGrid w:val="0"/>
          <w:color w:val="auto"/>
          <w:sz w:val="32"/>
          <w:szCs w:val="32"/>
        </w:rPr>
        <w:t>形成的MCC和CC应用麻醉风险分级进行校验</w:t>
      </w:r>
      <w:r>
        <w:rPr>
          <w:rFonts w:hint="default" w:ascii="Times New Roman" w:hAnsi="Times New Roman" w:eastAsia="仿宋_GB2312" w:cs="Times New Roman"/>
          <w:snapToGrid w:val="0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napToGrid w:val="0"/>
          <w:color w:val="auto"/>
          <w:sz w:val="32"/>
          <w:szCs w:val="32"/>
        </w:rPr>
        <w:t>优化，提高了</w:t>
      </w:r>
      <w:r>
        <w:rPr>
          <w:rFonts w:hint="default" w:ascii="Times New Roman" w:hAnsi="Times New Roman" w:eastAsia="仿宋_GB2312" w:cs="Times New Roman"/>
          <w:snapToGrid w:val="0"/>
          <w:color w:val="auto"/>
          <w:sz w:val="32"/>
          <w:szCs w:val="32"/>
          <w:lang w:eastAsia="zh-CN"/>
        </w:rPr>
        <w:t>能够</w:t>
      </w:r>
      <w:r>
        <w:rPr>
          <w:rFonts w:hint="default" w:ascii="Times New Roman" w:hAnsi="Times New Roman" w:eastAsia="仿宋_GB2312" w:cs="Times New Roman"/>
          <w:snapToGrid w:val="0"/>
          <w:color w:val="auto"/>
          <w:sz w:val="32"/>
          <w:szCs w:val="32"/>
        </w:rPr>
        <w:t>影响资源消耗</w:t>
      </w:r>
      <w:r>
        <w:rPr>
          <w:rFonts w:hint="default" w:ascii="Times New Roman" w:hAnsi="Times New Roman" w:eastAsia="仿宋_GB2312" w:cs="Times New Roman"/>
          <w:snapToGrid w:val="0"/>
          <w:color w:val="auto"/>
          <w:sz w:val="32"/>
          <w:szCs w:val="32"/>
          <w:lang w:eastAsia="zh-CN"/>
        </w:rPr>
        <w:t>的</w:t>
      </w:r>
      <w:r>
        <w:rPr>
          <w:rFonts w:hint="default" w:ascii="Times New Roman" w:hAnsi="Times New Roman" w:eastAsia="仿宋_GB2312" w:cs="Times New Roman"/>
          <w:snapToGrid w:val="0"/>
          <w:color w:val="auto"/>
          <w:sz w:val="32"/>
          <w:szCs w:val="32"/>
        </w:rPr>
        <w:t>其他诊断的定位精准度。</w:t>
      </w:r>
    </w:p>
    <w:p w14:paraId="36C55D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textAlignment w:val="auto"/>
        <w:outlineLvl w:val="9"/>
        <w:rPr>
          <w:rFonts w:hint="default" w:ascii="Times New Roman" w:hAnsi="Times New Roman" w:eastAsia="仿宋_GB2312" w:cs="Times New Roman"/>
          <w:snapToGrid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sz w:val="32"/>
          <w:szCs w:val="32"/>
        </w:rPr>
        <w:t xml:space="preserve">   </w:t>
      </w:r>
      <w:r>
        <w:rPr>
          <w:rFonts w:hint="default" w:ascii="Times New Roman" w:hAnsi="Times New Roman" w:eastAsia="楷体_GB2312" w:cs="Times New Roman"/>
          <w:snapToGrid w:val="0"/>
          <w:sz w:val="32"/>
          <w:szCs w:val="32"/>
        </w:rPr>
        <w:t xml:space="preserve"> </w:t>
      </w:r>
      <w:r>
        <w:rPr>
          <w:rFonts w:hint="default" w:ascii="Times New Roman" w:hAnsi="Times New Roman" w:eastAsia="楷体_GB2312" w:cs="Times New Roman"/>
          <w:snapToGrid w:val="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楷体_GB2312" w:cs="Times New Roman"/>
          <w:snapToGrid w:val="0"/>
          <w:sz w:val="32"/>
          <w:szCs w:val="32"/>
          <w:lang w:val="en-US" w:eastAsia="zh-CN"/>
        </w:rPr>
        <w:t>三）</w:t>
      </w:r>
      <w:r>
        <w:rPr>
          <w:rFonts w:hint="default" w:ascii="Times New Roman" w:hAnsi="Times New Roman" w:eastAsia="楷体_GB2312" w:cs="Times New Roman"/>
          <w:snapToGrid w:val="0"/>
          <w:sz w:val="32"/>
          <w:szCs w:val="32"/>
        </w:rPr>
        <w:t>完善分组规则</w:t>
      </w:r>
    </w:p>
    <w:p w14:paraId="36404B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napToGrid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sz w:val="32"/>
          <w:szCs w:val="32"/>
        </w:rPr>
        <w:t>根据ICD-10和ICD-9-CM3的编码原则和编码共识，将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bidi="zh-CN"/>
        </w:rPr>
        <w:t>附加说明疾病或手术情况、明确不可作为主要诊断以及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常规小的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" w:bidi="zh-CN"/>
        </w:rPr>
        <w:t>、门诊可进行的手术操作列</w:t>
      </w:r>
      <w:r>
        <w:rPr>
          <w:rFonts w:hint="default" w:ascii="Times New Roman" w:hAnsi="Times New Roman" w:eastAsia="仿宋_GB2312" w:cs="Times New Roman"/>
          <w:snapToGrid w:val="0"/>
          <w:sz w:val="32"/>
          <w:szCs w:val="32"/>
        </w:rPr>
        <w:t>为分组方案排除的疾病诊断和手术操作。各地在数据填报时，按照医疗保障结算清单的要求正常填写，但是不作为分组方案的入组条件，既能精准定位分组特征，体现核心诊疗价值，又能促进规范填报数据。</w:t>
      </w:r>
    </w:p>
    <w:p w14:paraId="4B92DE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textAlignment w:val="auto"/>
        <w:outlineLvl w:val="9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8C820D5-8F45-4869-B073-25A906CE127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D196EEF3-6D01-45D3-8260-399964E593F5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09840FB6-0A71-4B80-A60A-B084374E4DE8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CF1E2BB6-AF6B-4A92-8EE6-14C5C78C1822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5" w:fontKey="{79652B23-817A-4E3B-BCAB-ADD761D80DAC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4F133E29"/>
    <w:rsid w:val="4F13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iPriority="99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next w:val="1"/>
    <w:unhideWhenUsed/>
    <w:qFormat/>
    <w:uiPriority w:val="99"/>
    <w:pPr>
      <w:widowControl w:val="0"/>
      <w:ind w:left="420" w:leftChars="20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Body Text"/>
    <w:next w:val="1"/>
    <w:qFormat/>
    <w:uiPriority w:val="99"/>
    <w:pPr>
      <w:widowControl w:val="0"/>
      <w:jc w:val="both"/>
    </w:pPr>
    <w:rPr>
      <w:rFonts w:ascii="宋体" w:hAnsi="宋体" w:eastAsia="宋体" w:cs="宋体"/>
      <w:kern w:val="2"/>
      <w:sz w:val="32"/>
      <w:szCs w:val="3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2024-07-23T05:28:00Z</dcterms:created>
  <dc:creator>WPS_1684203075</dc:creator>
  <cp:lastModifiedBy>WPS_1684203075</cp:lastModifiedBy>
  <dcterms:modified xsi:type="dcterms:W3CDTF">2024-07-23T06:14:57Z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93B46BED62404CB3955E0A6EDFB11757_11</vt:lpwstr>
  </property>
</Properties>
</file>